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8E" w:rsidRDefault="003B528E" w:rsidP="003B528E">
      <w:pPr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OPIS PRZEDMIOTU ZAMÓWIENIA</w:t>
      </w:r>
    </w:p>
    <w:p w:rsidR="003B528E" w:rsidRDefault="003B528E" w:rsidP="003B528E">
      <w:pPr>
        <w:spacing w:line="276" w:lineRule="auto"/>
        <w:jc w:val="center"/>
        <w:rPr>
          <w:rFonts w:asciiTheme="majorHAnsi" w:hAnsiTheme="majorHAnsi"/>
          <w:b/>
        </w:rPr>
      </w:pPr>
      <w:r w:rsidRPr="00261272">
        <w:rPr>
          <w:rFonts w:asciiTheme="majorHAnsi" w:hAnsiTheme="majorHAnsi"/>
          <w:b/>
        </w:rPr>
        <w:t xml:space="preserve">Kontrola dokumentacji </w:t>
      </w:r>
      <w:r>
        <w:rPr>
          <w:rFonts w:asciiTheme="majorHAnsi" w:hAnsiTheme="majorHAnsi"/>
          <w:b/>
        </w:rPr>
        <w:t xml:space="preserve">badawczej </w:t>
      </w:r>
      <w:r w:rsidR="00735B86">
        <w:rPr>
          <w:rFonts w:asciiTheme="majorHAnsi" w:hAnsiTheme="majorHAnsi"/>
          <w:b/>
        </w:rPr>
        <w:t>i</w:t>
      </w:r>
      <w:r w:rsidRPr="00261272">
        <w:rPr>
          <w:rFonts w:asciiTheme="majorHAnsi" w:hAnsiTheme="majorHAnsi"/>
          <w:b/>
        </w:rPr>
        <w:t xml:space="preserve"> poprawności kodowania kwestionariuszy w ramach </w:t>
      </w:r>
      <w:r>
        <w:rPr>
          <w:rFonts w:asciiTheme="majorHAnsi" w:hAnsiTheme="majorHAnsi"/>
          <w:b/>
        </w:rPr>
        <w:t>V</w:t>
      </w:r>
      <w:r w:rsidRPr="00261272">
        <w:rPr>
          <w:rFonts w:asciiTheme="majorHAnsi" w:hAnsiTheme="majorHAnsi"/>
          <w:b/>
        </w:rPr>
        <w:t xml:space="preserve"> etapu badania podłużnego EWD w szkołach podstawowych</w:t>
      </w:r>
      <w:r>
        <w:rPr>
          <w:rFonts w:asciiTheme="majorHAnsi" w:hAnsiTheme="majorHAnsi"/>
          <w:b/>
        </w:rPr>
        <w:t xml:space="preserve"> oraz d</w:t>
      </w:r>
      <w:r w:rsidR="00735B86">
        <w:rPr>
          <w:rFonts w:asciiTheme="majorHAnsi" w:hAnsiTheme="majorHAnsi"/>
          <w:b/>
        </w:rPr>
        <w:t>odatkowego badania ilościowego, wraz z </w:t>
      </w:r>
      <w:r>
        <w:rPr>
          <w:rFonts w:asciiTheme="majorHAnsi" w:hAnsiTheme="majorHAnsi"/>
          <w:b/>
        </w:rPr>
        <w:t>anonimizacj</w:t>
      </w:r>
      <w:r w:rsidR="00735B86">
        <w:rPr>
          <w:rFonts w:asciiTheme="majorHAnsi" w:hAnsiTheme="majorHAnsi"/>
          <w:b/>
        </w:rPr>
        <w:t>ą</w:t>
      </w:r>
      <w:r>
        <w:rPr>
          <w:rFonts w:asciiTheme="majorHAnsi" w:hAnsiTheme="majorHAnsi"/>
          <w:b/>
        </w:rPr>
        <w:t xml:space="preserve"> części danych</w:t>
      </w:r>
    </w:p>
    <w:p w:rsidR="003B528E" w:rsidRPr="00C21504" w:rsidRDefault="003B528E" w:rsidP="003B528E">
      <w:pPr>
        <w:spacing w:line="276" w:lineRule="auto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3B528E" w:rsidRPr="00287DE9" w:rsidRDefault="003B528E" w:rsidP="003B528E">
      <w:pPr>
        <w:pStyle w:val="Akapitzlist"/>
        <w:numPr>
          <w:ilvl w:val="0"/>
          <w:numId w:val="5"/>
        </w:numPr>
        <w:spacing w:before="240" w:line="276" w:lineRule="auto"/>
        <w:rPr>
          <w:rFonts w:asciiTheme="majorHAnsi" w:hAnsiTheme="majorHAnsi"/>
          <w:b/>
        </w:rPr>
      </w:pPr>
      <w:r w:rsidRPr="00287DE9">
        <w:rPr>
          <w:rFonts w:asciiTheme="majorHAnsi" w:hAnsiTheme="majorHAnsi"/>
          <w:b/>
        </w:rPr>
        <w:t>Wstęp</w:t>
      </w:r>
    </w:p>
    <w:p w:rsidR="003B528E" w:rsidRPr="00DB55D4" w:rsidRDefault="003B528E" w:rsidP="003B528E">
      <w:pPr>
        <w:pStyle w:val="StylCalibriWyjustowany"/>
        <w:spacing w:before="240" w:after="160" w:line="276" w:lineRule="auto"/>
        <w:rPr>
          <w:rFonts w:asciiTheme="majorHAnsi" w:hAnsiTheme="majorHAnsi" w:cs="Calibri"/>
          <w:sz w:val="22"/>
          <w:szCs w:val="22"/>
        </w:rPr>
      </w:pPr>
      <w:r w:rsidRPr="00DB55D4">
        <w:rPr>
          <w:rFonts w:asciiTheme="majorHAnsi" w:hAnsiTheme="majorHAnsi"/>
          <w:sz w:val="22"/>
          <w:szCs w:val="22"/>
        </w:rPr>
        <w:t xml:space="preserve">Instytut Badań edukacyjnych realizuje projekt systemowy pn. </w:t>
      </w:r>
      <w:r w:rsidRPr="00DB55D4">
        <w:rPr>
          <w:rFonts w:asciiTheme="majorHAnsi" w:hAnsiTheme="majorHAnsi"/>
          <w:i/>
          <w:sz w:val="22"/>
          <w:szCs w:val="22"/>
        </w:rPr>
        <w:t xml:space="preserve">Rozwój metody edukacyjnej wartości dodanej na potrzeby wzmocnienia ewaluacyjnej funkcji egzaminów zewnętrznych, </w:t>
      </w:r>
      <w:r w:rsidRPr="00DB55D4">
        <w:rPr>
          <w:rFonts w:asciiTheme="majorHAnsi" w:hAnsiTheme="majorHAnsi"/>
          <w:sz w:val="22"/>
          <w:szCs w:val="22"/>
        </w:rPr>
        <w:t>współfinansowany ze środków Europejskiego Funduszu Społecznego w ramach PO Kapitał Ludzki, Priorytet III</w:t>
      </w:r>
      <w:r w:rsidRPr="00DB55D4">
        <w:rPr>
          <w:rFonts w:asciiTheme="majorHAnsi" w:hAnsiTheme="majorHAnsi"/>
          <w:i/>
          <w:sz w:val="22"/>
          <w:szCs w:val="22"/>
        </w:rPr>
        <w:t xml:space="preserve"> Wysoka jakość systemu oświaty, </w:t>
      </w:r>
      <w:r w:rsidRPr="00DB55D4">
        <w:rPr>
          <w:rFonts w:asciiTheme="majorHAnsi" w:hAnsiTheme="majorHAnsi"/>
          <w:sz w:val="22"/>
          <w:szCs w:val="22"/>
        </w:rPr>
        <w:t>Działanie 3.2</w:t>
      </w:r>
      <w:r w:rsidRPr="00DB55D4">
        <w:rPr>
          <w:rFonts w:asciiTheme="majorHAnsi" w:hAnsiTheme="majorHAnsi"/>
          <w:i/>
          <w:sz w:val="22"/>
          <w:szCs w:val="22"/>
        </w:rPr>
        <w:t xml:space="preserve"> Rozwój systemu egzaminów zewnętrznych. </w:t>
      </w:r>
      <w:r w:rsidRPr="00DB55D4">
        <w:rPr>
          <w:rFonts w:asciiTheme="majorHAnsi" w:hAnsiTheme="majorHAnsi" w:cs="Calibri"/>
          <w:sz w:val="22"/>
          <w:szCs w:val="22"/>
        </w:rPr>
        <w:t>W ramach projektu Pracownia Edukacyjnej Wartości Dodanej prowadzi badania podłużne w szkole podstawowej. Mają one na celu dostarczenie danych potrzebnych do oceny trafności metody EWD, lepszego modelowania EWD oraz monitorowania funkcjo</w:t>
      </w:r>
      <w:r>
        <w:rPr>
          <w:rFonts w:asciiTheme="majorHAnsi" w:hAnsiTheme="majorHAnsi" w:cs="Calibri"/>
          <w:sz w:val="22"/>
          <w:szCs w:val="22"/>
        </w:rPr>
        <w:t xml:space="preserve">nowania egzaminów zewnętrznych. </w:t>
      </w:r>
      <w:r w:rsidRPr="002063C9">
        <w:rPr>
          <w:rFonts w:asciiTheme="majorHAnsi" w:hAnsiTheme="majorHAnsi"/>
        </w:rPr>
        <w:t>W roku 2015 realizowany jest V etap badania podłużnego EWD oraz dodatkowe badanie ilościowe z wykorzystaniem testów TOS6, obejmujące 180 szkół podstawowych, losowo wybranych w skali kraju</w:t>
      </w:r>
      <w:r w:rsidRPr="002063C9">
        <w:rPr>
          <w:rFonts w:asciiTheme="majorHAnsi" w:hAnsiTheme="majorHAnsi" w:cs="Calibri"/>
        </w:rPr>
        <w:t>. Realizacja badania została powierzona wykonawcy zewnętrznemu,</w:t>
      </w:r>
      <w:r>
        <w:rPr>
          <w:rFonts w:asciiTheme="majorHAnsi" w:hAnsiTheme="majorHAnsi" w:cs="Calibri"/>
        </w:rPr>
        <w:t xml:space="preserve"> wyłonionemu w drodze przetargu </w:t>
      </w:r>
      <w:r w:rsidRPr="002063C9">
        <w:rPr>
          <w:rFonts w:asciiTheme="majorHAnsi" w:hAnsiTheme="majorHAnsi" w:cs="Calibri"/>
        </w:rPr>
        <w:t xml:space="preserve">nieograniczonego. </w:t>
      </w:r>
      <w:r w:rsidRPr="00DB55D4">
        <w:rPr>
          <w:rFonts w:asciiTheme="majorHAnsi" w:hAnsiTheme="majorHAnsi" w:cs="Calibri"/>
          <w:sz w:val="22"/>
          <w:szCs w:val="22"/>
        </w:rPr>
        <w:t xml:space="preserve">Uznanie umowy z wykonawcą za zrealizowaną wymaga zweryfikowania zarówno materiałów i dokumentów powstałych w trakcie poszczególnych części badania, jak i weryfikacji poprawności kodowania kwestionariuszy testów wykorzystanych w trakcie badania. Zatem </w:t>
      </w:r>
      <w:r>
        <w:rPr>
          <w:rFonts w:asciiTheme="majorHAnsi" w:hAnsiTheme="majorHAnsi" w:cs="Calibri"/>
          <w:sz w:val="22"/>
          <w:szCs w:val="22"/>
        </w:rPr>
        <w:t>konieczne jest wyłonienie wykonawcy usługi polegającej na przeprowadzeniu stosownej kontroli dokumentacji badawczej i poprawności kodowania testów wykorzystanych podczas badania.</w:t>
      </w:r>
    </w:p>
    <w:p w:rsidR="003B528E" w:rsidRPr="00287DE9" w:rsidRDefault="003B528E" w:rsidP="003B528E">
      <w:pPr>
        <w:pStyle w:val="Akapitzlist"/>
        <w:numPr>
          <w:ilvl w:val="0"/>
          <w:numId w:val="12"/>
        </w:numPr>
        <w:spacing w:before="240" w:line="276" w:lineRule="auto"/>
        <w:rPr>
          <w:rFonts w:asciiTheme="majorHAnsi" w:hAnsiTheme="majorHAnsi"/>
          <w:b/>
        </w:rPr>
      </w:pPr>
      <w:r w:rsidRPr="00287DE9">
        <w:rPr>
          <w:rFonts w:asciiTheme="majorHAnsi" w:hAnsiTheme="majorHAnsi"/>
          <w:b/>
        </w:rPr>
        <w:t>Cel kontroli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Celem kontroli dokumentacji jest weryfikacja poprawności wypełnienia materiałów badawczych wytworzonych przez Wykonawcę badania podłużnego EWD w szkołach podstawowych oraz weryfikacja spójności danych znajdujących się w różnych elementach tych materiałów. Celem kontroli kodowania jest weryfikacja poprawności zakodowania odpowiedzi udzielonych przez respondentów w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papierowych wersjach kwestionariuszy wykorzystanych w </w:t>
      </w:r>
      <w:r>
        <w:rPr>
          <w:rFonts w:asciiTheme="majorHAnsi" w:hAnsiTheme="majorHAnsi"/>
        </w:rPr>
        <w:t>V etapie</w:t>
      </w:r>
      <w:r w:rsidRPr="004E5F32">
        <w:rPr>
          <w:rFonts w:asciiTheme="majorHAnsi" w:hAnsiTheme="majorHAnsi"/>
        </w:rPr>
        <w:t xml:space="preserve"> badania podłużnego EWD w</w:t>
      </w:r>
      <w:r>
        <w:rPr>
          <w:rFonts w:asciiTheme="majorHAnsi" w:hAnsiTheme="majorHAnsi"/>
        </w:rPr>
        <w:t> szkołach podstawowych i dodatkowym badaniu ilościowym.</w:t>
      </w:r>
    </w:p>
    <w:p w:rsidR="003B528E" w:rsidRPr="00287DE9" w:rsidRDefault="003B528E" w:rsidP="003B528E">
      <w:pPr>
        <w:pStyle w:val="Akapitzlist"/>
        <w:numPr>
          <w:ilvl w:val="0"/>
          <w:numId w:val="12"/>
        </w:numPr>
        <w:spacing w:before="240" w:line="276" w:lineRule="auto"/>
        <w:rPr>
          <w:rFonts w:asciiTheme="majorHAnsi" w:hAnsiTheme="majorHAnsi"/>
          <w:b/>
        </w:rPr>
      </w:pPr>
      <w:r w:rsidRPr="00287DE9">
        <w:rPr>
          <w:rFonts w:asciiTheme="majorHAnsi" w:hAnsiTheme="majorHAnsi"/>
          <w:b/>
        </w:rPr>
        <w:t>Termin realizacji zamówienia</w:t>
      </w:r>
    </w:p>
    <w:p w:rsidR="003B528E" w:rsidRDefault="003B528E" w:rsidP="003B528E">
      <w:pPr>
        <w:pStyle w:val="Akapitzlist"/>
        <w:spacing w:before="240" w:line="276" w:lineRule="auto"/>
        <w:rPr>
          <w:rFonts w:asciiTheme="majorHAnsi" w:hAnsiTheme="majorHAnsi"/>
        </w:rPr>
      </w:pPr>
    </w:p>
    <w:p w:rsidR="003B528E" w:rsidRPr="009E29F5" w:rsidRDefault="003B528E" w:rsidP="003B528E">
      <w:pPr>
        <w:pStyle w:val="Akapitzlist"/>
        <w:numPr>
          <w:ilvl w:val="1"/>
          <w:numId w:val="7"/>
        </w:numPr>
        <w:spacing w:before="240" w:line="276" w:lineRule="auto"/>
        <w:rPr>
          <w:rFonts w:asciiTheme="majorHAnsi" w:hAnsiTheme="majorHAnsi"/>
        </w:rPr>
      </w:pPr>
      <w:r w:rsidRPr="009E29F5">
        <w:rPr>
          <w:rFonts w:asciiTheme="majorHAnsi" w:hAnsiTheme="majorHAnsi"/>
        </w:rPr>
        <w:t>Kontrola dokumentacji badawczej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Kontrola rozpocznie się po przekazaniu materiałów badawczych przez Wykonawcę </w:t>
      </w:r>
      <w:r>
        <w:rPr>
          <w:rFonts w:asciiTheme="majorHAnsi" w:hAnsiTheme="majorHAnsi"/>
        </w:rPr>
        <w:t>V</w:t>
      </w:r>
      <w:r w:rsidRPr="004E5F32">
        <w:rPr>
          <w:rFonts w:asciiTheme="majorHAnsi" w:hAnsiTheme="majorHAnsi"/>
        </w:rPr>
        <w:t xml:space="preserve"> etapu badania podłużnego EWD w szkołach podstawowych. Termin ten został wyznaczony na </w:t>
      </w:r>
      <w:r>
        <w:rPr>
          <w:rFonts w:asciiTheme="majorHAnsi" w:hAnsiTheme="majorHAnsi"/>
          <w:b/>
        </w:rPr>
        <w:t xml:space="preserve">5 </w:t>
      </w:r>
      <w:r w:rsidRPr="004E5F32">
        <w:rPr>
          <w:rFonts w:asciiTheme="majorHAnsi" w:hAnsiTheme="majorHAnsi"/>
          <w:b/>
        </w:rPr>
        <w:t>czerwca 201</w:t>
      </w:r>
      <w:r>
        <w:rPr>
          <w:rFonts w:asciiTheme="majorHAnsi" w:hAnsiTheme="majorHAnsi"/>
          <w:b/>
        </w:rPr>
        <w:t xml:space="preserve">5 </w:t>
      </w:r>
      <w:r w:rsidRPr="004E5F32">
        <w:rPr>
          <w:rFonts w:asciiTheme="majorHAnsi" w:hAnsiTheme="majorHAnsi"/>
        </w:rPr>
        <w:t xml:space="preserve">roku. Jeżeli Wykonawca badania w szkołach podstawowych nie przekaże materiałów we wskazanym terminie, realizacja kontroli zostanie przesunięta. Kontrola odbywać się będzie w turach. Na przeprowadzenie jednej tury kontroli materiałów Wykonawca niniejszego zamówienia będzie miał </w:t>
      </w:r>
      <w:r>
        <w:rPr>
          <w:rFonts w:asciiTheme="majorHAnsi" w:hAnsiTheme="majorHAnsi"/>
        </w:rPr>
        <w:t>6</w:t>
      </w:r>
      <w:r w:rsidRPr="00DB55D4">
        <w:rPr>
          <w:rFonts w:asciiTheme="majorHAnsi" w:hAnsiTheme="majorHAnsi"/>
        </w:rPr>
        <w:t xml:space="preserve"> dni kalendarzowych od dnia przekazania tych materiałów do kontroli.</w:t>
      </w:r>
      <w:r w:rsidRPr="004E5F32">
        <w:rPr>
          <w:rFonts w:asciiTheme="majorHAnsi" w:hAnsiTheme="majorHAnsi"/>
        </w:rPr>
        <w:t xml:space="preserve"> 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lastRenderedPageBreak/>
        <w:t xml:space="preserve">Jeżeli pierwsza tura kontroli wykaże błędy/nieprawidłowości, całość materiałów badawczych zostanie zwrócona Wykonawcy </w:t>
      </w:r>
      <w:r>
        <w:rPr>
          <w:rFonts w:asciiTheme="majorHAnsi" w:hAnsiTheme="majorHAnsi"/>
        </w:rPr>
        <w:t xml:space="preserve">badania, </w:t>
      </w:r>
      <w:r w:rsidRPr="004E5F32">
        <w:rPr>
          <w:rFonts w:asciiTheme="majorHAnsi" w:hAnsiTheme="majorHAnsi"/>
        </w:rPr>
        <w:t xml:space="preserve">celem usunięcia wad (potrwa to nie więcej </w:t>
      </w:r>
      <w:r w:rsidRPr="00DB55D4">
        <w:rPr>
          <w:rFonts w:asciiTheme="majorHAnsi" w:hAnsiTheme="majorHAnsi"/>
        </w:rPr>
        <w:t xml:space="preserve">niż </w:t>
      </w:r>
      <w:r>
        <w:rPr>
          <w:rFonts w:asciiTheme="majorHAnsi" w:hAnsiTheme="majorHAnsi"/>
        </w:rPr>
        <w:t xml:space="preserve">14 </w:t>
      </w:r>
      <w:r w:rsidRPr="00DB55D4">
        <w:rPr>
          <w:rFonts w:asciiTheme="majorHAnsi" w:hAnsiTheme="majorHAnsi"/>
        </w:rPr>
        <w:t>dni kalendarzowych). Następnie podlegać będzie kolejnej turze kontroli. Poprawione materiały będą kontrolowane i zwracane do</w:t>
      </w:r>
      <w:r w:rsidRPr="004E5F32">
        <w:rPr>
          <w:rFonts w:asciiTheme="majorHAnsi" w:hAnsiTheme="majorHAnsi"/>
        </w:rPr>
        <w:t xml:space="preserve"> poprawy do momentu wyeliminowania znaczących wad przez firmę realizującą badanie. Oznacza to, że nie można przewidzieć dokładnego momentu rozpoczęcia ani zakończenia kontroli. Pierwsza tura kontroli  rozpocznie się nie wcześniej niż </w:t>
      </w:r>
      <w:r>
        <w:rPr>
          <w:rFonts w:asciiTheme="majorHAnsi" w:hAnsiTheme="majorHAnsi"/>
        </w:rPr>
        <w:t>6</w:t>
      </w:r>
      <w:r w:rsidRPr="004E5F32">
        <w:rPr>
          <w:rFonts w:asciiTheme="majorHAnsi" w:hAnsiTheme="majorHAnsi"/>
        </w:rPr>
        <w:t xml:space="preserve"> czerwca 201</w:t>
      </w:r>
      <w:r>
        <w:rPr>
          <w:rFonts w:asciiTheme="majorHAnsi" w:hAnsiTheme="majorHAnsi"/>
        </w:rPr>
        <w:t>5</w:t>
      </w:r>
      <w:r w:rsidRPr="004E5F32">
        <w:rPr>
          <w:rFonts w:asciiTheme="majorHAnsi" w:hAnsiTheme="majorHAnsi"/>
        </w:rPr>
        <w:t xml:space="preserve"> roku.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Zwykle odbywają się nie więcej niż 2 tury kontroli materiałów badawczych.</w:t>
      </w:r>
    </w:p>
    <w:p w:rsidR="003B528E" w:rsidRPr="009E29F5" w:rsidRDefault="003B528E" w:rsidP="003B528E">
      <w:pPr>
        <w:pStyle w:val="Akapitzlist"/>
        <w:numPr>
          <w:ilvl w:val="1"/>
          <w:numId w:val="7"/>
        </w:numPr>
        <w:spacing w:before="240" w:line="276" w:lineRule="auto"/>
        <w:rPr>
          <w:rFonts w:asciiTheme="majorHAnsi" w:hAnsiTheme="majorHAnsi"/>
        </w:rPr>
      </w:pPr>
      <w:r w:rsidRPr="009E29F5">
        <w:rPr>
          <w:rFonts w:asciiTheme="majorHAnsi" w:hAnsiTheme="majorHAnsi"/>
        </w:rPr>
        <w:t xml:space="preserve">Kontrola </w:t>
      </w:r>
      <w:r>
        <w:rPr>
          <w:rFonts w:asciiTheme="majorHAnsi" w:hAnsiTheme="majorHAnsi"/>
        </w:rPr>
        <w:t>kodowania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 momencie gdy dokumentacja badawcza będzie pozbawiona znaczących wad, Zamawiający przekaże Wykonawcy wylosowane kwestionariusze do weryfikacji jakości kodowania. Kontrola będzie odbywać się w turach. Wykonawca będzie </w:t>
      </w:r>
      <w:r>
        <w:rPr>
          <w:rFonts w:asciiTheme="majorHAnsi" w:hAnsiTheme="majorHAnsi"/>
        </w:rPr>
        <w:t>miał 7</w:t>
      </w:r>
      <w:r w:rsidRPr="009E29F5">
        <w:rPr>
          <w:rFonts w:asciiTheme="majorHAnsi" w:hAnsiTheme="majorHAnsi"/>
        </w:rPr>
        <w:t xml:space="preserve"> dni</w:t>
      </w:r>
      <w:r w:rsidRPr="004E5F32">
        <w:rPr>
          <w:rFonts w:asciiTheme="majorHAnsi" w:hAnsiTheme="majorHAnsi"/>
        </w:rPr>
        <w:t xml:space="preserve"> kalendarzowych na ich weryfikację w każdej turze. W przypadku stwierdzenia błędów kodowania przekraczających 1% Zamawiający zwróci firmie realizującej badani</w:t>
      </w:r>
      <w:r>
        <w:rPr>
          <w:rFonts w:asciiTheme="majorHAnsi" w:hAnsiTheme="majorHAnsi"/>
        </w:rPr>
        <w:t>e</w:t>
      </w:r>
      <w:r w:rsidRPr="004E5F32">
        <w:rPr>
          <w:rFonts w:asciiTheme="majorHAnsi" w:hAnsiTheme="majorHAnsi"/>
        </w:rPr>
        <w:t xml:space="preserve"> podłużnego EWD w szkołach podstawowych materiały badawcze w celu usunięcia wad. Usunięcie wad powinno nastąpić w ciągu 7 dni kalendarzowych. Procedura weryfikacji poprawności kodowania danych i ewentualnej naprawy przez firmę realizującą badani</w:t>
      </w:r>
      <w:r>
        <w:rPr>
          <w:rFonts w:asciiTheme="majorHAnsi" w:hAnsiTheme="majorHAnsi"/>
        </w:rPr>
        <w:t xml:space="preserve">e </w:t>
      </w:r>
      <w:r w:rsidRPr="004E5F32">
        <w:rPr>
          <w:rFonts w:asciiTheme="majorHAnsi" w:hAnsiTheme="majorHAnsi"/>
        </w:rPr>
        <w:t>podłużnego w szkołach podstawowych będzie trwała do momentu, aż błędy kodowania będą wynosiły 1% lub mniej. Oznacza to, że nie można wyznaczyć dokładnego terminu rozpoczęcia i zakończenia kontroli kodowania gdyż zależą one od wyników przeprowadzonej weryfikacji.</w:t>
      </w:r>
    </w:p>
    <w:p w:rsidR="003B528E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Zwykle odbywają się nie więcej niż 2 tury kontroli kodowania.</w:t>
      </w:r>
    </w:p>
    <w:p w:rsidR="003B528E" w:rsidRPr="00287DE9" w:rsidRDefault="003B528E" w:rsidP="003B528E">
      <w:pPr>
        <w:pStyle w:val="Akapitzlist"/>
        <w:numPr>
          <w:ilvl w:val="0"/>
          <w:numId w:val="12"/>
        </w:numPr>
        <w:spacing w:before="240" w:line="276" w:lineRule="auto"/>
        <w:rPr>
          <w:rFonts w:asciiTheme="majorHAnsi" w:hAnsiTheme="majorHAnsi"/>
          <w:b/>
        </w:rPr>
      </w:pPr>
      <w:r w:rsidRPr="00287DE9">
        <w:rPr>
          <w:rFonts w:asciiTheme="majorHAnsi" w:hAnsiTheme="majorHAnsi"/>
          <w:b/>
        </w:rPr>
        <w:t xml:space="preserve">Przekazanie materiałów 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W dniu podpisania umowy Zamawiający Przekazuje Wykonawcy:</w:t>
      </w:r>
    </w:p>
    <w:p w:rsidR="003B528E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skrócone procedury badawcze, </w:t>
      </w:r>
      <w:r>
        <w:rPr>
          <w:rFonts w:asciiTheme="majorHAnsi" w:hAnsiTheme="majorHAnsi"/>
        </w:rPr>
        <w:t xml:space="preserve">obowiązujące podczas V </w:t>
      </w:r>
      <w:r w:rsidRPr="004E5F32">
        <w:rPr>
          <w:rFonts w:asciiTheme="majorHAnsi" w:hAnsiTheme="majorHAnsi"/>
        </w:rPr>
        <w:t>etap</w:t>
      </w:r>
      <w:r>
        <w:rPr>
          <w:rFonts w:asciiTheme="majorHAnsi" w:hAnsiTheme="majorHAnsi"/>
        </w:rPr>
        <w:t>u</w:t>
      </w:r>
      <w:r w:rsidRPr="004E5F32">
        <w:rPr>
          <w:rFonts w:asciiTheme="majorHAnsi" w:hAnsiTheme="majorHAnsi"/>
        </w:rPr>
        <w:t xml:space="preserve"> badania podłużnego EWD w szkołach podstawowych</w:t>
      </w:r>
      <w:r>
        <w:rPr>
          <w:rFonts w:asciiTheme="majorHAnsi" w:hAnsiTheme="majorHAnsi"/>
        </w:rPr>
        <w:t xml:space="preserve"> i dodatkowego badania ilościowego</w:t>
      </w:r>
      <w:r w:rsidRPr="004E5F32">
        <w:rPr>
          <w:rFonts w:asciiTheme="majorHAnsi" w:hAnsiTheme="majorHAnsi"/>
        </w:rPr>
        <w:t xml:space="preserve">, zawierające informacje o zasadach wypełniania kontrolowanych dokumentów </w:t>
      </w:r>
    </w:p>
    <w:p w:rsidR="003B528E" w:rsidRPr="004E5F32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raport z kontaktu ze szkołami w V etapie badania zawierający informacje użyteczne podczas kontroli dokumentacji</w:t>
      </w:r>
    </w:p>
    <w:p w:rsidR="003B528E" w:rsidRPr="00E06E93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wzory kwestionariuszy ucznia, oraz nauczyciela, </w:t>
      </w:r>
      <w:r w:rsidRPr="00E06E93">
        <w:rPr>
          <w:rFonts w:asciiTheme="majorHAnsi" w:hAnsiTheme="majorHAnsi"/>
        </w:rPr>
        <w:t xml:space="preserve">które są wykorzystywane podczas V etapu badania podłużnego w szkołach podstawowych </w:t>
      </w:r>
    </w:p>
    <w:p w:rsidR="003B528E" w:rsidRPr="004E5F32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E06E93">
        <w:rPr>
          <w:rFonts w:asciiTheme="majorHAnsi" w:hAnsiTheme="majorHAnsi"/>
        </w:rPr>
        <w:t>codebooki opisujące strukturę zbiorów danych z kwestionariuszy</w:t>
      </w:r>
      <w:r w:rsidRPr="004E5F32">
        <w:rPr>
          <w:rFonts w:asciiTheme="majorHAnsi" w:hAnsiTheme="majorHAnsi"/>
        </w:rPr>
        <w:t xml:space="preserve"> dla ucznia i nauczyciela</w:t>
      </w:r>
      <w:r>
        <w:rPr>
          <w:rFonts w:asciiTheme="majorHAnsi" w:hAnsiTheme="majorHAnsi"/>
        </w:rPr>
        <w:t>, Testów Matryc Ravena</w:t>
      </w:r>
      <w:r w:rsidRPr="004E5F32">
        <w:rPr>
          <w:rFonts w:asciiTheme="majorHAnsi" w:hAnsiTheme="majorHAnsi"/>
        </w:rPr>
        <w:t xml:space="preserve"> </w:t>
      </w:r>
    </w:p>
    <w:p w:rsidR="003B528E" w:rsidRPr="00DC40BA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DC40BA">
        <w:rPr>
          <w:rFonts w:asciiTheme="majorHAnsi" w:hAnsiTheme="majorHAnsi"/>
        </w:rPr>
        <w:t>podręczniki kodowania kwestionariuszy dla ucznia i nauczyciela oraz Testów Matryc Ravena wraz z ogóln</w:t>
      </w:r>
      <w:r>
        <w:rPr>
          <w:rFonts w:asciiTheme="majorHAnsi" w:hAnsiTheme="majorHAnsi"/>
        </w:rPr>
        <w:t>ymi</w:t>
      </w:r>
      <w:r w:rsidRPr="00DC40BA">
        <w:rPr>
          <w:rFonts w:asciiTheme="majorHAnsi" w:hAnsiTheme="majorHAnsi"/>
        </w:rPr>
        <w:t xml:space="preserve"> instrukcj</w:t>
      </w:r>
      <w:r>
        <w:rPr>
          <w:rFonts w:asciiTheme="majorHAnsi" w:hAnsiTheme="majorHAnsi"/>
        </w:rPr>
        <w:t>ami</w:t>
      </w:r>
      <w:r w:rsidRPr="00DC40BA">
        <w:rPr>
          <w:rFonts w:asciiTheme="majorHAnsi" w:hAnsiTheme="majorHAnsi"/>
        </w:rPr>
        <w:t xml:space="preserve"> kodowania </w:t>
      </w:r>
    </w:p>
    <w:p w:rsidR="003B528E" w:rsidRPr="004E5F32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listę szkół, z których materiały podlegają kontroli </w:t>
      </w:r>
    </w:p>
    <w:p w:rsidR="003B528E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E06E93">
        <w:rPr>
          <w:rFonts w:asciiTheme="majorHAnsi" w:hAnsiTheme="majorHAnsi"/>
        </w:rPr>
        <w:t>listy nauczycieli z etapu IV</w:t>
      </w:r>
    </w:p>
    <w:p w:rsidR="003B528E" w:rsidRPr="00E06E93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E06E93">
        <w:rPr>
          <w:rFonts w:asciiTheme="majorHAnsi" w:hAnsiTheme="majorHAnsi"/>
        </w:rPr>
        <w:t xml:space="preserve">listy uczniów z etapu </w:t>
      </w:r>
      <w:r>
        <w:rPr>
          <w:rFonts w:asciiTheme="majorHAnsi" w:hAnsiTheme="majorHAnsi"/>
        </w:rPr>
        <w:t>IV.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Ponadto w ciągu 2 dni roboczych od dnia przekazania materiałów bada</w:t>
      </w:r>
      <w:r>
        <w:rPr>
          <w:rFonts w:asciiTheme="majorHAnsi" w:hAnsiTheme="majorHAnsi"/>
        </w:rPr>
        <w:t xml:space="preserve">wczych przez firmę realizującą V </w:t>
      </w:r>
      <w:r w:rsidRPr="004E5F32">
        <w:rPr>
          <w:rFonts w:asciiTheme="majorHAnsi" w:hAnsiTheme="majorHAnsi"/>
        </w:rPr>
        <w:t xml:space="preserve">etap badania podłużnego w szkołach podstawowych, Zamawiający przekaże Wykonawcy niniejszego zamówienia: </w:t>
      </w:r>
    </w:p>
    <w:p w:rsidR="003B528E" w:rsidRPr="004E5F32" w:rsidRDefault="003B528E" w:rsidP="003B528E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lastRenderedPageBreak/>
        <w:t xml:space="preserve">materiały badawcze podlegające kontroli (pudełka zawierające wypełnione kwestionariusze uczniów i nauczycieli, </w:t>
      </w:r>
      <w:r>
        <w:rPr>
          <w:rFonts w:asciiTheme="majorHAnsi" w:hAnsiTheme="majorHAnsi"/>
        </w:rPr>
        <w:t xml:space="preserve">wypełnione arkusze testowe Testów Matryc Ravena, wypełnione Testy Osiągnięć Szkolnych, </w:t>
      </w:r>
      <w:r w:rsidRPr="004E5F32">
        <w:rPr>
          <w:rFonts w:asciiTheme="majorHAnsi" w:hAnsiTheme="majorHAnsi"/>
        </w:rPr>
        <w:t>listy uczniów w oddziałach, listy nauczycieli w szkołach, protokoły realizacji badania w szkole, zbiorczy protokół realizacji badania, dokumenty elektroniczne utworzone na podstawie zbiorów danych oraz dokumenty wskazujące oddziały wybrane do badania).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Wszystkie materiały z punktów </w:t>
      </w:r>
      <w:r w:rsidRPr="006F5299">
        <w:rPr>
          <w:rFonts w:asciiTheme="majorHAnsi" w:hAnsiTheme="majorHAnsi"/>
        </w:rPr>
        <w:t xml:space="preserve">a – </w:t>
      </w:r>
      <w:r>
        <w:rPr>
          <w:rFonts w:asciiTheme="majorHAnsi" w:hAnsiTheme="majorHAnsi"/>
        </w:rPr>
        <w:t>h</w:t>
      </w:r>
      <w:r w:rsidRPr="004E5F32">
        <w:rPr>
          <w:rFonts w:asciiTheme="majorHAnsi" w:hAnsiTheme="majorHAnsi"/>
        </w:rPr>
        <w:t xml:space="preserve"> zostaną przekazane w postaci elektronicznej. 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Materiały z punktu </w:t>
      </w:r>
      <w:r>
        <w:rPr>
          <w:rFonts w:asciiTheme="majorHAnsi" w:hAnsiTheme="majorHAnsi"/>
        </w:rPr>
        <w:t>i</w:t>
      </w:r>
      <w:r w:rsidRPr="004E5F32">
        <w:rPr>
          <w:rFonts w:asciiTheme="majorHAnsi" w:hAnsiTheme="majorHAnsi"/>
        </w:rPr>
        <w:t xml:space="preserve"> przekazaną zostaną w różnych formach: </w:t>
      </w:r>
    </w:p>
    <w:p w:rsidR="003B528E" w:rsidRPr="004E5F32" w:rsidRDefault="003B528E" w:rsidP="003B528E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 wersji papierowej: kwestionariusze uczniów, rodziców i nauczycieli, </w:t>
      </w:r>
      <w:r>
        <w:rPr>
          <w:rFonts w:asciiTheme="majorHAnsi" w:hAnsiTheme="majorHAnsi"/>
        </w:rPr>
        <w:t xml:space="preserve">zeszyty testowe TOS6 (każdy test w 2 wariantach – test </w:t>
      </w:r>
      <w:r w:rsidRPr="00E06E93">
        <w:rPr>
          <w:rFonts w:asciiTheme="majorHAnsi" w:hAnsiTheme="majorHAnsi"/>
        </w:rPr>
        <w:t xml:space="preserve">umiejętności matematycznych, test </w:t>
      </w:r>
      <w:r>
        <w:rPr>
          <w:rFonts w:asciiTheme="majorHAnsi" w:hAnsiTheme="majorHAnsi"/>
        </w:rPr>
        <w:t>kompetencji</w:t>
      </w:r>
      <w:r w:rsidRPr="00E06E93">
        <w:rPr>
          <w:rFonts w:asciiTheme="majorHAnsi" w:hAnsiTheme="majorHAnsi"/>
        </w:rPr>
        <w:t xml:space="preserve"> językow</w:t>
      </w:r>
      <w:r>
        <w:rPr>
          <w:rFonts w:asciiTheme="majorHAnsi" w:hAnsiTheme="majorHAnsi"/>
        </w:rPr>
        <w:t>ych</w:t>
      </w:r>
      <w:r w:rsidRPr="00E06E93">
        <w:rPr>
          <w:rFonts w:asciiTheme="majorHAnsi" w:hAnsiTheme="majorHAnsi"/>
        </w:rPr>
        <w:t xml:space="preserve"> oraz test czytania</w:t>
      </w:r>
      <w:r>
        <w:rPr>
          <w:rFonts w:asciiTheme="majorHAnsi" w:hAnsiTheme="majorHAnsi"/>
        </w:rPr>
        <w:t>, łącznie 6 rodzajów zeszytów</w:t>
      </w:r>
      <w:r w:rsidRPr="00E06E93">
        <w:rPr>
          <w:rFonts w:asciiTheme="majorHAnsi" w:hAnsiTheme="majorHAnsi"/>
        </w:rPr>
        <w:t xml:space="preserve">), </w:t>
      </w:r>
      <w:r>
        <w:rPr>
          <w:rFonts w:asciiTheme="majorHAnsi" w:hAnsiTheme="majorHAnsi"/>
        </w:rPr>
        <w:t xml:space="preserve">arkusze </w:t>
      </w:r>
      <w:r w:rsidRPr="00E06E93">
        <w:rPr>
          <w:rFonts w:asciiTheme="majorHAnsi" w:hAnsiTheme="majorHAnsi"/>
        </w:rPr>
        <w:t>Test</w:t>
      </w:r>
      <w:r>
        <w:rPr>
          <w:rFonts w:asciiTheme="majorHAnsi" w:hAnsiTheme="majorHAnsi"/>
        </w:rPr>
        <w:t>ów</w:t>
      </w:r>
      <w:r w:rsidRPr="00E06E93">
        <w:rPr>
          <w:rFonts w:asciiTheme="majorHAnsi" w:hAnsiTheme="majorHAnsi"/>
        </w:rPr>
        <w:t xml:space="preserve"> Matryc Ravena </w:t>
      </w:r>
      <w:r w:rsidRPr="004E5F32">
        <w:rPr>
          <w:rFonts w:asciiTheme="majorHAnsi" w:hAnsiTheme="majorHAnsi"/>
        </w:rPr>
        <w:t xml:space="preserve">oraz zgody na wykorzystanie numerów PESEL </w:t>
      </w:r>
    </w:p>
    <w:p w:rsidR="003B528E" w:rsidRPr="004E5F32" w:rsidRDefault="003B528E" w:rsidP="003B528E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 wersji papierowej oraz elektronicznej: listy uczniów w oddziałach, listy nauczycieli w szkołach, protokoły realizacji badania w szkole</w:t>
      </w:r>
    </w:p>
    <w:p w:rsidR="003B528E" w:rsidRPr="004E5F32" w:rsidRDefault="003B528E" w:rsidP="003B528E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 wersji elektronicznej: zbiorczy protokół realizacji badania, elektroniczne dokumenty utworzone na postawie zbiorów danych wskazujące (1) liczebności papierowych kwestionariuszy, (2) wybór oddziałów do badania.</w:t>
      </w:r>
    </w:p>
    <w:p w:rsidR="003B528E" w:rsidRPr="009E29F5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Materiały zostaną przekazane Wykonawcy w siedzibie Instytutu Badań Edukacyjnych. Wykonawca odbierając je </w:t>
      </w:r>
      <w:r w:rsidRPr="009E29F5">
        <w:rPr>
          <w:rFonts w:asciiTheme="majorHAnsi" w:hAnsiTheme="majorHAnsi"/>
        </w:rPr>
        <w:t xml:space="preserve">podpisze protokół zdawczo-odbiorczy, potwierdzając ich odbiór. </w:t>
      </w:r>
    </w:p>
    <w:p w:rsidR="003B528E" w:rsidRPr="009E29F5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Ponadto w ciągu 2 dni roboczych od dnia, w którym Zamawiający uzna dokumentację badawczą za pozbawioną znaczących wad, przekaże on Wykonawcy:</w:t>
      </w:r>
    </w:p>
    <w:p w:rsidR="003B528E" w:rsidRPr="009E29F5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wypełnione kwestionariusze uczniów</w:t>
      </w:r>
    </w:p>
    <w:p w:rsidR="003B528E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 xml:space="preserve">wypełnione kwestionariusze nauczycieli </w:t>
      </w:r>
    </w:p>
    <w:p w:rsidR="003B528E" w:rsidRPr="009E29F5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wypełnione testy </w:t>
      </w:r>
      <w:r w:rsidRPr="00E06E93">
        <w:rPr>
          <w:rFonts w:asciiTheme="majorHAnsi" w:hAnsiTheme="majorHAnsi"/>
        </w:rPr>
        <w:t>Matryc Ravena</w:t>
      </w:r>
      <w:r>
        <w:rPr>
          <w:rFonts w:asciiTheme="majorHAnsi" w:hAnsiTheme="majorHAnsi"/>
        </w:rPr>
        <w:t xml:space="preserve"> (wersja Standard oraz dla Zaawansowanych)</w:t>
      </w:r>
      <w:r w:rsidRPr="00E06E93">
        <w:rPr>
          <w:rFonts w:asciiTheme="majorHAnsi" w:hAnsiTheme="majorHAnsi"/>
        </w:rPr>
        <w:t>,</w:t>
      </w:r>
    </w:p>
    <w:p w:rsidR="003B528E" w:rsidRPr="009E29F5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Elektroniczną listę identyfikatorów respondentów, których kwestionariusze podlegać będą kontroli kodowania (nie więcej niż 700 w przypadku kwestionariuszy uczniów</w:t>
      </w:r>
      <w:r>
        <w:rPr>
          <w:rFonts w:asciiTheme="majorHAnsi" w:hAnsiTheme="majorHAnsi"/>
        </w:rPr>
        <w:t>, nie więcej niż 700 w przypadku Testu Matryc Ravena, wersja Standard, nie więcej niż 700 w przypadku Testu Matryc Ravena, wersja dla Zaawansowanych</w:t>
      </w:r>
      <w:r w:rsidRPr="009E29F5">
        <w:rPr>
          <w:rFonts w:asciiTheme="majorHAnsi" w:hAnsiTheme="majorHAnsi"/>
        </w:rPr>
        <w:t xml:space="preserve"> oraz nie więcej niż </w:t>
      </w:r>
      <w:r>
        <w:rPr>
          <w:rFonts w:asciiTheme="majorHAnsi" w:hAnsiTheme="majorHAnsi"/>
        </w:rPr>
        <w:t>3</w:t>
      </w:r>
      <w:r w:rsidRPr="009E29F5">
        <w:rPr>
          <w:rFonts w:asciiTheme="majorHAnsi" w:hAnsiTheme="majorHAnsi"/>
        </w:rPr>
        <w:t>00 w przypadku kwestionariuszy nauczycieli).</w:t>
      </w:r>
    </w:p>
    <w:p w:rsidR="003B528E" w:rsidRPr="009E29F5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Kwestionariusze znajdować się będą w kompletnych paczkach z materiałami szkół, w których pracują/uczą się respondenci</w:t>
      </w:r>
      <w:r>
        <w:rPr>
          <w:rFonts w:asciiTheme="majorHAnsi" w:hAnsiTheme="majorHAnsi"/>
        </w:rPr>
        <w:t>.</w:t>
      </w:r>
      <w:r w:rsidRPr="009E29F5">
        <w:rPr>
          <w:rFonts w:asciiTheme="majorHAnsi" w:hAnsiTheme="majorHAnsi"/>
        </w:rPr>
        <w:t>).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Ponadto w ciągu 2 dni roboczych</w:t>
      </w:r>
      <w:r w:rsidRPr="004E5F32">
        <w:rPr>
          <w:rFonts w:asciiTheme="majorHAnsi" w:hAnsiTheme="majorHAnsi"/>
        </w:rPr>
        <w:t xml:space="preserve"> od dnia, w którym Wykonawca przekaże zakodowania danego kwestionariusza w ramach kontroli kodowania, Zamawiający przekaże Wykonawcy zakodowania </w:t>
      </w:r>
      <w:r>
        <w:rPr>
          <w:rFonts w:asciiTheme="majorHAnsi" w:hAnsiTheme="majorHAnsi"/>
        </w:rPr>
        <w:t>oryginalne (tj. dostarczone przez Wykonawcę V etapu badania w szkołach podstawowych).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Każdy z rodzajów kwestionariusza zawiera różną liczbę zmiennych możliwych do zakodowania. Zostały one podane poniżej, wraz z ich krótką charakterystyką.</w:t>
      </w:r>
    </w:p>
    <w:p w:rsidR="003B528E" w:rsidRPr="004F24DE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 w:rsidRPr="004F24DE">
        <w:rPr>
          <w:rFonts w:asciiTheme="majorHAnsi" w:hAnsiTheme="majorHAnsi"/>
        </w:rPr>
        <w:t xml:space="preserve">kwestionariusz ucznia - łącznie zawiera 81 zmiennych, które będą podlegać kodowaniu (pytania zamknięte), liczy 8 stron, </w:t>
      </w:r>
    </w:p>
    <w:p w:rsidR="003B528E" w:rsidRPr="004F24DE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 w:rsidRPr="004F24DE">
        <w:rPr>
          <w:rFonts w:asciiTheme="majorHAnsi" w:hAnsiTheme="majorHAnsi"/>
        </w:rPr>
        <w:lastRenderedPageBreak/>
        <w:t>Testy Matryc Ravena (wersja Standard, Forma klasyczna oraz wersja dla Zaawansowanych) -  zawierają łącznie 84 zmienne, które będą podlegać kodowaniu (pytania zamknięte), arkusze odpowiedzi liczą łącznie 2 strony,</w:t>
      </w:r>
    </w:p>
    <w:p w:rsidR="003B528E" w:rsidRPr="004F24DE" w:rsidRDefault="003B528E" w:rsidP="003B528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hAnsiTheme="majorHAnsi"/>
        </w:rPr>
      </w:pPr>
      <w:r w:rsidRPr="004F24DE">
        <w:rPr>
          <w:rFonts w:asciiTheme="majorHAnsi" w:hAnsiTheme="majorHAnsi"/>
        </w:rPr>
        <w:t>kwestionariusz dla nauczyciela – zawiera 27 zmiennych, które będą podlegać kodowaniu (pytania zamknięte), liczy 2 strony.</w:t>
      </w:r>
    </w:p>
    <w:p w:rsidR="003B528E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F24DE">
        <w:rPr>
          <w:rFonts w:asciiTheme="majorHAnsi" w:hAnsiTheme="majorHAnsi"/>
        </w:rPr>
        <w:t>Materiały zostaną przekazane Wykonawcy w siedzibie Instytutu Badań Edukacyjnych. Wykonawca</w:t>
      </w:r>
      <w:r w:rsidRPr="004E5F32">
        <w:rPr>
          <w:rFonts w:asciiTheme="majorHAnsi" w:hAnsiTheme="majorHAnsi"/>
        </w:rPr>
        <w:t xml:space="preserve"> odbierając je podpisze protokół zdawczo-odbiorczy, potwierdzając odbiór określonej na nim ilości papierowych kwestionariuszy danego rodzaju z danych szkół i oddziałów klasowych.</w:t>
      </w:r>
    </w:p>
    <w:p w:rsidR="003B528E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</w:p>
    <w:p w:rsidR="003B528E" w:rsidRPr="00287DE9" w:rsidRDefault="003B528E" w:rsidP="003B528E">
      <w:pPr>
        <w:pStyle w:val="Akapitzlist"/>
        <w:numPr>
          <w:ilvl w:val="0"/>
          <w:numId w:val="12"/>
        </w:numPr>
        <w:spacing w:before="240" w:line="276" w:lineRule="auto"/>
        <w:rPr>
          <w:rFonts w:asciiTheme="majorHAnsi" w:hAnsiTheme="majorHAnsi"/>
          <w:b/>
        </w:rPr>
      </w:pPr>
      <w:r w:rsidRPr="00287DE9">
        <w:rPr>
          <w:rFonts w:asciiTheme="majorHAnsi" w:hAnsiTheme="majorHAnsi"/>
          <w:b/>
        </w:rPr>
        <w:t xml:space="preserve">Kontrola materiałów badawczych </w:t>
      </w:r>
    </w:p>
    <w:p w:rsidR="003B528E" w:rsidRDefault="003B528E" w:rsidP="003B528E">
      <w:pPr>
        <w:pStyle w:val="Akapitzlist"/>
        <w:spacing w:before="240" w:line="276" w:lineRule="auto"/>
        <w:rPr>
          <w:rFonts w:asciiTheme="majorHAnsi" w:hAnsiTheme="majorHAnsi"/>
        </w:rPr>
      </w:pPr>
    </w:p>
    <w:p w:rsidR="003B528E" w:rsidRPr="007627E3" w:rsidRDefault="003B528E" w:rsidP="003B528E">
      <w:pPr>
        <w:pStyle w:val="Akapitzlist"/>
        <w:numPr>
          <w:ilvl w:val="1"/>
          <w:numId w:val="9"/>
        </w:numPr>
        <w:spacing w:before="240" w:line="276" w:lineRule="auto"/>
        <w:ind w:left="1134"/>
        <w:rPr>
          <w:rFonts w:asciiTheme="majorHAnsi" w:hAnsiTheme="majorHAnsi"/>
        </w:rPr>
      </w:pPr>
      <w:r w:rsidRPr="007627E3">
        <w:rPr>
          <w:rFonts w:asciiTheme="majorHAnsi" w:hAnsiTheme="majorHAnsi"/>
        </w:rPr>
        <w:t>Przebieg kontroli</w:t>
      </w:r>
      <w:r>
        <w:rPr>
          <w:rFonts w:asciiTheme="majorHAnsi" w:hAnsiTheme="majorHAnsi"/>
        </w:rPr>
        <w:t xml:space="preserve"> dokumentacji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Wykonawca po podpisaniu umowy zapoznaje się z materiałami badawczymi, które będzie kontrolował oraz zasadami ich </w:t>
      </w:r>
      <w:r w:rsidRPr="009E29F5">
        <w:rPr>
          <w:rFonts w:asciiTheme="majorHAnsi" w:hAnsiTheme="majorHAnsi"/>
        </w:rPr>
        <w:t>wypełniania (punkt 3, podpunkty a-h). Ustala także (w porozumieniu z  Zamawiającym) sposób weryfikacji poprawności dokumentacji oraz strukturę rejestru błędów/niezgodności. Po otrzymaniu od Zamawiającego materiałów do skontrolowania (punkt 3, podpunkt i) przystąpi do weryfikacji materiałów badawczych we wskazanych przez Zamawiającego szkołach</w:t>
      </w:r>
      <w:r w:rsidRPr="004E5F32">
        <w:rPr>
          <w:rFonts w:asciiTheme="majorHAnsi" w:hAnsiTheme="majorHAnsi"/>
        </w:rPr>
        <w:t>. W toku kontroli tworzył będzie rejestr wykrytych błędów/niezgodności. Po skontrolowaniu całości dokumentacji Wykonawca przedłoży wspomniany rejestr wraz z raportem podsumowującym kontrolę.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Następnie Zamawiający przekaże firmie realizującej </w:t>
      </w:r>
      <w:r>
        <w:rPr>
          <w:rFonts w:asciiTheme="majorHAnsi" w:hAnsiTheme="majorHAnsi"/>
        </w:rPr>
        <w:t xml:space="preserve">V </w:t>
      </w:r>
      <w:r w:rsidRPr="004E5F32">
        <w:rPr>
          <w:rFonts w:asciiTheme="majorHAnsi" w:hAnsiTheme="majorHAnsi"/>
        </w:rPr>
        <w:t>etap badania w szkołach informacje o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 znalezionych błędach (jeżeli takie zostaną wykryte), zwróci mu całość materiałów badawczych i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>wezwie go do ich poprawy. Po przekazaniu przez firmę realizującą V etap badania w szkołach podstawowych poprawionych materiałów badawczych, Wykonawca niniejszej kontroli powtórzy czynności kontrolne tych rodzajów materiałów i ich elementów, w których wykrył wcześniej błędy. Szkoły, których materiały będą kontrolowane, wskaże Zamawiający</w:t>
      </w:r>
      <w:r>
        <w:rPr>
          <w:rFonts w:asciiTheme="majorHAnsi" w:hAnsiTheme="majorHAnsi"/>
        </w:rPr>
        <w:t xml:space="preserve"> (nie muszą być to te same szkoły, w których błędy wykryto)</w:t>
      </w:r>
      <w:r w:rsidRPr="004E5F32">
        <w:rPr>
          <w:rFonts w:asciiTheme="majorHAnsi" w:hAnsiTheme="majorHAnsi"/>
        </w:rPr>
        <w:t>. Wykonawca sporządzi stosowny rejestr błędów/niezgodności oraz raport podsumowujący kontrolę.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Procedura ta będzie powtarzana do momentu, gdy w dokumentacji nie będzie znaczących wad.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Poniżej wskazano czynności, które należy wykonać w ramach pierwszej tury kontroli dokumentacji:</w:t>
      </w:r>
    </w:p>
    <w:p w:rsidR="003B528E" w:rsidRPr="00F228DB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F228DB">
        <w:rPr>
          <w:rFonts w:asciiTheme="majorHAnsi" w:hAnsiTheme="majorHAnsi"/>
        </w:rPr>
        <w:t>weryfikacja zgód rodziców na wykorzystanie numerów PESEL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poprawność formalna (kompletność informacji, czytelność podpisów itp.)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porównanie liczby zgód papierowych z liczebnościami w następujących dokumentach: listy uczniów, protokół zbiorczy realizacji badania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sporządzonych papierowych i elektronicznych protokołów realizacji badania w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>szkole: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formalnej (kompletność informacji, obecność podpisów itp.)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treści (poprawności wypełnienia)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zgodności treści protokołów elektronicznych i papierowych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lastRenderedPageBreak/>
        <w:t>weryfikacja sporządzonych papierowych i elektronicznych list uczniów: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formalnej (np. kompletność informacji)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treści (np. unikalność numerów z dziennika w jednej klasie)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weryfikacja zgodności treści list elektronicznych i papierowych 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sporządzonych papierowych i elektronicznych list nauczycieli: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formalnej (np. kompletność informacji)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treści (np. poprawność prowadzenia danych o nauczanym przedmiocie)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zgodności treści list elektronicznych i papierowych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nadania identyfikatorów uczniom: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 przypadku uczniów, którzy wcześniej uczestniczyli w badaniu – porównanie z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identyfikatorami na listach z etapu </w:t>
      </w:r>
      <w:r>
        <w:rPr>
          <w:rFonts w:asciiTheme="majorHAnsi" w:hAnsiTheme="majorHAnsi"/>
        </w:rPr>
        <w:t>IV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poprawności nadania identyfikatorów nauczycielom: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 przypadku nauczycieli, którzy wcześniej uczestniczyli w badaniu: porównanie z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identyfikatorami na listach z </w:t>
      </w:r>
      <w:r>
        <w:rPr>
          <w:rFonts w:asciiTheme="majorHAnsi" w:hAnsiTheme="majorHAnsi"/>
        </w:rPr>
        <w:t>IV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zgodności oddziałów wskazanych do badania z oddziałami faktycznie przebadanymi (porównanie informacji z dokumentach: wskazującym oddziały do badania i zbiorczym protokole realizacji badania)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zgodności liczby przebadanych nauczycieli w następujących dokumentach i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 materiałach: listy nauczycieli, protokoły badania w szkole, protokół zbiorczy realizacji badania, 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weryfikacja zgodności liczby wypełnionych papierowych kwestionariuszy nauczyciela przekazanych przez Wykonawcę </w:t>
      </w:r>
      <w:r>
        <w:rPr>
          <w:rFonts w:asciiTheme="majorHAnsi" w:hAnsiTheme="majorHAnsi"/>
        </w:rPr>
        <w:t>V</w:t>
      </w:r>
      <w:r w:rsidRPr="004E5F32">
        <w:rPr>
          <w:rFonts w:asciiTheme="majorHAnsi" w:hAnsiTheme="majorHAnsi"/>
        </w:rPr>
        <w:t xml:space="preserve"> etapu badania z liczebnościami podanymi: na listach nauczycieli, w pliku przygotowanym na podstawie zbiorów danych 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wymaga przeliczenia papierowych kwestionariuszy 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należy sprawdzić zgodność liczebności we wszystkich trzech źródłach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zgodności liczby wypełnionych kwestionariuszy dla ucznia</w:t>
      </w:r>
      <w:r>
        <w:rPr>
          <w:rFonts w:asciiTheme="majorHAnsi" w:hAnsiTheme="majorHAnsi"/>
        </w:rPr>
        <w:t xml:space="preserve"> (przekazanych przez Wykonawcę </w:t>
      </w:r>
      <w:r w:rsidRPr="004E5F32">
        <w:rPr>
          <w:rFonts w:asciiTheme="majorHAnsi" w:hAnsiTheme="majorHAnsi"/>
        </w:rPr>
        <w:t xml:space="preserve">V etapu badania) z liczebnościami podanymi w następujących dokumentach: zbiorczy protokół realizacji badania, listy uczniów, 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wymaga przeliczenia papierowych kwestionariuszy;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należy sprawdzić zgodność liczebności we wszystkich trzech źródłach</w:t>
      </w:r>
      <w:r w:rsidRPr="004E5F32" w:rsidDel="00794E65">
        <w:rPr>
          <w:rFonts w:asciiTheme="majorHAnsi" w:hAnsiTheme="majorHAnsi"/>
        </w:rPr>
        <w:t xml:space="preserve"> 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weryfikacja zgodności liczby wypełnionych </w:t>
      </w:r>
      <w:r>
        <w:rPr>
          <w:rFonts w:asciiTheme="majorHAnsi" w:hAnsiTheme="majorHAnsi"/>
        </w:rPr>
        <w:t xml:space="preserve">Testów Matryc Ravena, wersja Standard,  (przekazanych przez Wykonawcę </w:t>
      </w:r>
      <w:r w:rsidRPr="004E5F32">
        <w:rPr>
          <w:rFonts w:asciiTheme="majorHAnsi" w:hAnsiTheme="majorHAnsi"/>
        </w:rPr>
        <w:t xml:space="preserve">V etapu badania) z liczebnościami w następujących dokumentach: zbiorczy protokół realizacji badania, listy uczniów, 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wymaga przeliczenia papierowych kwestionariuszy;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należy sprawdzić zgodność liczebności we wszystkich trzech źródłach 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weryfikacja zgodności liczby wypełnionych </w:t>
      </w:r>
      <w:r>
        <w:rPr>
          <w:rFonts w:asciiTheme="majorHAnsi" w:hAnsiTheme="majorHAnsi"/>
        </w:rPr>
        <w:t>Testów Matryc Ravena, wersja dla Zaawansowanych</w:t>
      </w:r>
      <w:r w:rsidRPr="004E5F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(przekazanych przez Wykonawcę </w:t>
      </w:r>
      <w:r w:rsidRPr="004E5F32">
        <w:rPr>
          <w:rFonts w:asciiTheme="majorHAnsi" w:hAnsiTheme="majorHAnsi"/>
        </w:rPr>
        <w:t xml:space="preserve">V etapu badania) z liczebnościami w następujących dokumentach: zbiorczy protokół realizacji badania, listy uczniów, 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wymaga przeliczenia papierowych kwestionariuszy;</w:t>
      </w:r>
    </w:p>
    <w:p w:rsidR="003B528E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należy sprawdzić zgodność liczebności we wszystkich trzech źródłach </w:t>
      </w:r>
    </w:p>
    <w:p w:rsidR="003B528E" w:rsidRPr="004E5F32" w:rsidRDefault="003B528E" w:rsidP="003B528E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weryfikacja zgodnoś</w:t>
      </w:r>
      <w:r>
        <w:rPr>
          <w:rFonts w:asciiTheme="majorHAnsi" w:hAnsiTheme="majorHAnsi"/>
        </w:rPr>
        <w:t>ci liczby wypełnionych testów TOS6 z matematyki, czytania i kompetencji językowych (każdy test w wersji A oraz B; łącznie 6 zeszytów testowych, każdy uczeń wypełniał 3 zeszyty)</w:t>
      </w:r>
      <w:r w:rsidRPr="004E5F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(przekazanych przez Wykonawcę </w:t>
      </w:r>
      <w:r w:rsidRPr="004E5F32">
        <w:rPr>
          <w:rFonts w:asciiTheme="majorHAnsi" w:hAnsiTheme="majorHAnsi"/>
        </w:rPr>
        <w:t xml:space="preserve">V etapu badania) z liczebnościami w następujących dokumentach: zbiorczy protokół realizacji badania, listy uczniów, 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wymaga przeliczenia papierowych kwestionariuszy;</w:t>
      </w:r>
    </w:p>
    <w:p w:rsidR="003B528E" w:rsidRPr="004E5F32" w:rsidRDefault="003B528E" w:rsidP="003B528E">
      <w:pPr>
        <w:pStyle w:val="Akapitzlist"/>
        <w:numPr>
          <w:ilvl w:val="1"/>
          <w:numId w:val="2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lastRenderedPageBreak/>
        <w:t xml:space="preserve">należy sprawdzić zgodność liczebności we wszystkich trzech źródłach </w:t>
      </w:r>
    </w:p>
    <w:p w:rsidR="003B528E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 każdej turze czynności kontrolne wskazane w </w:t>
      </w:r>
      <w:r>
        <w:rPr>
          <w:rFonts w:asciiTheme="majorHAnsi" w:hAnsiTheme="majorHAnsi"/>
        </w:rPr>
        <w:t>pod</w:t>
      </w:r>
      <w:r w:rsidRPr="004E5F32">
        <w:rPr>
          <w:rFonts w:asciiTheme="majorHAnsi" w:hAnsiTheme="majorHAnsi"/>
        </w:rPr>
        <w:t xml:space="preserve">punktach </w:t>
      </w:r>
      <w:r>
        <w:rPr>
          <w:rFonts w:asciiTheme="majorHAnsi" w:hAnsiTheme="majorHAnsi"/>
        </w:rPr>
        <w:t>b</w:t>
      </w:r>
      <w:r w:rsidRPr="004E5F32">
        <w:rPr>
          <w:rFonts w:asciiTheme="majorHAnsi" w:hAnsiTheme="majorHAnsi"/>
        </w:rPr>
        <w:t>-</w:t>
      </w:r>
      <w:r>
        <w:rPr>
          <w:rFonts w:asciiTheme="majorHAnsi" w:hAnsiTheme="majorHAnsi"/>
        </w:rPr>
        <w:t>d</w:t>
      </w:r>
      <w:r w:rsidRPr="004E5F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h</w:t>
      </w:r>
      <w:r w:rsidRPr="004E5F32">
        <w:rPr>
          <w:rFonts w:asciiTheme="majorHAnsi" w:hAnsiTheme="majorHAnsi"/>
        </w:rPr>
        <w:t>-</w:t>
      </w:r>
      <w:r>
        <w:rPr>
          <w:rFonts w:asciiTheme="majorHAnsi" w:hAnsiTheme="majorHAnsi"/>
        </w:rPr>
        <w:t>m</w:t>
      </w:r>
      <w:r w:rsidRPr="004E5F32">
        <w:rPr>
          <w:rFonts w:asciiTheme="majorHAnsi" w:hAnsiTheme="majorHAnsi"/>
        </w:rPr>
        <w:t xml:space="preserve"> należy przeprowadzić dla 45 szkół, natomiast czynności kontrolne wskazane w p</w:t>
      </w:r>
      <w:r>
        <w:rPr>
          <w:rFonts w:asciiTheme="majorHAnsi" w:hAnsiTheme="majorHAnsi"/>
        </w:rPr>
        <w:t>odp</w:t>
      </w:r>
      <w:r w:rsidRPr="004E5F32">
        <w:rPr>
          <w:rFonts w:asciiTheme="majorHAnsi" w:hAnsiTheme="majorHAnsi"/>
        </w:rPr>
        <w:t xml:space="preserve">unktach a oraz </w:t>
      </w:r>
      <w:r>
        <w:rPr>
          <w:rFonts w:asciiTheme="majorHAnsi" w:hAnsiTheme="majorHAnsi"/>
        </w:rPr>
        <w:t>e-</w:t>
      </w:r>
      <w:r w:rsidRPr="004E5F32">
        <w:rPr>
          <w:rFonts w:asciiTheme="majorHAnsi" w:hAnsiTheme="majorHAnsi"/>
        </w:rPr>
        <w:t>f dla wszystkich 180 szkół. W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>przypadku czynności obejmujących 45 szkół w każdej turze kontroli wskaże je Zamawiający.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 sytuacji wykrycia błędów/niezgodności Wykonawca jest zobowiązany ponownie sprawdzić, czy nie popełnił pomyłki.</w:t>
      </w:r>
    </w:p>
    <w:p w:rsidR="003B528E" w:rsidRPr="009E29F5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Sposób (procedurę) kontroli oraz strukturę rejestru błędów/niezgodności przygotuje Wykonawca w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porozumieniu z Zamawiającym (Wykonawca jest zobowiązany uwzględnia uwag Zamawiającego) </w:t>
      </w:r>
      <w:r w:rsidRPr="009E29F5">
        <w:rPr>
          <w:rFonts w:asciiTheme="majorHAnsi" w:hAnsiTheme="majorHAnsi"/>
        </w:rPr>
        <w:t>w</w:t>
      </w:r>
      <w:r>
        <w:rPr>
          <w:rFonts w:asciiTheme="majorHAnsi" w:hAnsiTheme="majorHAnsi"/>
        </w:rPr>
        <w:t> </w:t>
      </w:r>
      <w:r w:rsidRPr="009E29F5">
        <w:rPr>
          <w:rFonts w:asciiTheme="majorHAnsi" w:hAnsiTheme="majorHAnsi"/>
        </w:rPr>
        <w:t xml:space="preserve"> ciągu </w:t>
      </w:r>
      <w:r>
        <w:rPr>
          <w:rFonts w:asciiTheme="majorHAnsi" w:hAnsiTheme="majorHAnsi"/>
        </w:rPr>
        <w:t>5</w:t>
      </w:r>
      <w:r w:rsidRPr="009E29F5">
        <w:rPr>
          <w:rFonts w:asciiTheme="majorHAnsi" w:hAnsiTheme="majorHAnsi"/>
        </w:rPr>
        <w:t xml:space="preserve"> dni od podpisania umowy. Rejestr powinien być sporządzony w arkuszu kalkulacyjnym. Rejestr będzie sporządzany w każdej turze kontroli. Niemożliwe jest przystąpienie do kontroli dokumentacji bez uprzedniej akceptacji sposobu (procedury) kontroli oraz struktury rejestru.</w:t>
      </w:r>
    </w:p>
    <w:p w:rsidR="003B528E" w:rsidRPr="009D79C9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D79C9">
        <w:rPr>
          <w:rFonts w:asciiTheme="majorHAnsi" w:hAnsiTheme="majorHAnsi"/>
        </w:rPr>
        <w:t>Raport podsumowujący kontrolę powinien zawierać informacje o rodzajach wykrytych błędów/ niezgodności wraz z przykładami każdego błędu/niezgodności oraz ich liczbą. Raport będzie sporządzany w każdej turze kontroli.</w:t>
      </w:r>
    </w:p>
    <w:p w:rsidR="003B528E" w:rsidRPr="007627E3" w:rsidRDefault="003B528E" w:rsidP="003B528E">
      <w:pPr>
        <w:pStyle w:val="Akapitzlist"/>
        <w:numPr>
          <w:ilvl w:val="1"/>
          <w:numId w:val="9"/>
        </w:numPr>
        <w:spacing w:before="240" w:line="276" w:lineRule="auto"/>
        <w:ind w:left="1134"/>
        <w:rPr>
          <w:rFonts w:asciiTheme="majorHAnsi" w:hAnsiTheme="majorHAnsi"/>
        </w:rPr>
      </w:pPr>
      <w:r w:rsidRPr="007627E3">
        <w:rPr>
          <w:rFonts w:asciiTheme="majorHAnsi" w:hAnsiTheme="majorHAnsi"/>
        </w:rPr>
        <w:t>Zakres kontroli dokumentacji</w:t>
      </w:r>
    </w:p>
    <w:p w:rsidR="003B528E" w:rsidRPr="009D79C9" w:rsidRDefault="003B528E" w:rsidP="003B528E">
      <w:pPr>
        <w:spacing w:before="240" w:line="276" w:lineRule="auto"/>
        <w:jc w:val="both"/>
        <w:rPr>
          <w:rFonts w:asciiTheme="majorHAnsi" w:eastAsia="Times New Roman" w:hAnsiTheme="majorHAnsi" w:cs="Arial"/>
          <w:color w:val="222222"/>
          <w:lang w:eastAsia="pl-PL"/>
        </w:rPr>
      </w:pPr>
      <w:r w:rsidRPr="009D79C9">
        <w:rPr>
          <w:rFonts w:asciiTheme="majorHAnsi" w:eastAsia="Times New Roman" w:hAnsiTheme="majorHAnsi" w:cs="Arial"/>
          <w:color w:val="222222"/>
          <w:lang w:eastAsia="pl-PL"/>
        </w:rPr>
        <w:t>Czynności kontrolne wskazane w pkt 5 w podpunktach</w:t>
      </w:r>
      <w:r w:rsidRPr="009D79C9">
        <w:rPr>
          <w:rFonts w:asciiTheme="majorHAnsi" w:hAnsiTheme="majorHAnsi"/>
        </w:rPr>
        <w:t xml:space="preserve"> a oraz </w:t>
      </w:r>
      <w:r>
        <w:rPr>
          <w:rFonts w:asciiTheme="majorHAnsi" w:hAnsiTheme="majorHAnsi"/>
        </w:rPr>
        <w:t>e-</w:t>
      </w:r>
      <w:r w:rsidRPr="009D79C9">
        <w:rPr>
          <w:rFonts w:asciiTheme="majorHAnsi" w:hAnsiTheme="majorHAnsi"/>
        </w:rPr>
        <w:t xml:space="preserve">f (prowadzone dla wszystkich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180 szkół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>), odnoszą się:</w:t>
      </w:r>
    </w:p>
    <w:p w:rsidR="003B528E" w:rsidRPr="009D79C9" w:rsidRDefault="003B528E" w:rsidP="003B528E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/>
        </w:rPr>
      </w:pPr>
      <w:r w:rsidRPr="009D79C9">
        <w:rPr>
          <w:rFonts w:asciiTheme="majorHAnsi" w:eastAsia="Times New Roman" w:hAnsiTheme="majorHAnsi" w:cs="Arial"/>
          <w:color w:val="222222"/>
          <w:lang w:eastAsia="pl-PL"/>
        </w:rPr>
        <w:t>łącznie do 323 oddziałów szkolnych (w przypadku 51 szkół badany był 1 oddział, w 114 - 2 oddziały, w 14 - 3 oddziały);</w:t>
      </w:r>
    </w:p>
    <w:p w:rsidR="003B528E" w:rsidRPr="009D79C9" w:rsidRDefault="003B528E" w:rsidP="003B528E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/>
        </w:rPr>
      </w:pPr>
      <w:r w:rsidRPr="009D79C9">
        <w:rPr>
          <w:rFonts w:asciiTheme="majorHAnsi" w:eastAsia="Times New Roman" w:hAnsiTheme="majorHAnsi" w:cs="Arial"/>
          <w:color w:val="222222"/>
          <w:lang w:eastAsia="pl-PL"/>
        </w:rPr>
        <w:t>wypełnionych f</w:t>
      </w:r>
      <w:r w:rsidRPr="009D79C9">
        <w:rPr>
          <w:rFonts w:asciiTheme="majorHAnsi" w:hAnsiTheme="majorHAnsi"/>
        </w:rPr>
        <w:t xml:space="preserve">ormularzy zgód rodzica na wykorzystanie numeru ewidencyjnego 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 xml:space="preserve">PESEL będzie nie więcej niż </w:t>
      </w:r>
      <w:r>
        <w:rPr>
          <w:rFonts w:asciiTheme="majorHAnsi" w:eastAsia="Times New Roman" w:hAnsiTheme="majorHAnsi" w:cs="Arial"/>
          <w:color w:val="222222"/>
          <w:lang w:eastAsia="pl-PL"/>
        </w:rPr>
        <w:t>1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>8</w:t>
      </w:r>
      <w:r>
        <w:rPr>
          <w:rFonts w:asciiTheme="majorHAnsi" w:eastAsia="Times New Roman" w:hAnsiTheme="majorHAnsi" w:cs="Arial"/>
          <w:color w:val="222222"/>
          <w:lang w:eastAsia="pl-PL"/>
        </w:rPr>
        <w:t>5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>0;</w:t>
      </w:r>
    </w:p>
    <w:p w:rsidR="003B528E" w:rsidRPr="007C1647" w:rsidRDefault="003B528E" w:rsidP="003B528E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/>
        </w:rPr>
      </w:pPr>
      <w:r w:rsidRPr="00F228DB">
        <w:rPr>
          <w:rFonts w:asciiTheme="majorHAnsi" w:eastAsia="Times New Roman" w:hAnsiTheme="majorHAnsi" w:cs="Arial"/>
          <w:color w:val="222222"/>
          <w:lang w:eastAsia="pl-PL"/>
        </w:rPr>
        <w:t>liczba uczniów biorących udział w poprzednim etapie badania, dla których zostanie przeprowadzona kontrola poprawności na</w:t>
      </w:r>
      <w:r w:rsidRPr="007C1647">
        <w:rPr>
          <w:rFonts w:asciiTheme="majorHAnsi" w:eastAsia="Times New Roman" w:hAnsiTheme="majorHAnsi" w:cs="Arial"/>
          <w:color w:val="222222"/>
          <w:lang w:eastAsia="pl-PL"/>
        </w:rPr>
        <w:t xml:space="preserve">dania identyfikatorów: nie więcej niż </w:t>
      </w:r>
      <w:r>
        <w:rPr>
          <w:rFonts w:asciiTheme="majorHAnsi" w:eastAsia="Times New Roman" w:hAnsiTheme="majorHAnsi" w:cs="Arial"/>
          <w:color w:val="222222"/>
          <w:lang w:eastAsia="pl-PL"/>
        </w:rPr>
        <w:t>6400</w:t>
      </w:r>
      <w:r w:rsidRPr="007C1647">
        <w:rPr>
          <w:rFonts w:asciiTheme="majorHAnsi" w:eastAsia="Times New Roman" w:hAnsiTheme="majorHAnsi" w:cs="Arial"/>
          <w:color w:val="222222"/>
          <w:lang w:eastAsia="pl-PL"/>
        </w:rPr>
        <w:t>;</w:t>
      </w:r>
    </w:p>
    <w:p w:rsidR="003B528E" w:rsidRPr="009D79C9" w:rsidRDefault="003B528E" w:rsidP="003B528E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jc w:val="both"/>
        <w:rPr>
          <w:rFonts w:asciiTheme="majorHAnsi" w:eastAsia="Times New Roman" w:hAnsiTheme="majorHAnsi" w:cs="Arial"/>
          <w:color w:val="222222"/>
          <w:lang w:eastAsia="pl-PL"/>
        </w:rPr>
      </w:pPr>
      <w:r w:rsidRPr="009D79C9">
        <w:rPr>
          <w:rFonts w:asciiTheme="majorHAnsi" w:hAnsiTheme="majorHAnsi"/>
        </w:rPr>
        <w:t>l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iczba nauczycieli, dla których 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>zostanie przeprowadzona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 kontrola poprawności nadania iden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 xml:space="preserve">tyfikatorów: nie więcej niż </w:t>
      </w:r>
      <w:r>
        <w:rPr>
          <w:rFonts w:asciiTheme="majorHAnsi" w:eastAsia="Times New Roman" w:hAnsiTheme="majorHAnsi" w:cs="Arial"/>
          <w:color w:val="222222"/>
          <w:lang w:eastAsia="pl-PL"/>
        </w:rPr>
        <w:t>1270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>.</w:t>
      </w:r>
    </w:p>
    <w:p w:rsidR="003B528E" w:rsidRDefault="003B528E" w:rsidP="003B528E">
      <w:pPr>
        <w:spacing w:before="240" w:line="276" w:lineRule="auto"/>
        <w:jc w:val="both"/>
        <w:rPr>
          <w:rFonts w:asciiTheme="majorHAnsi" w:eastAsia="Times New Roman" w:hAnsiTheme="majorHAnsi" w:cs="Arial"/>
          <w:color w:val="222222"/>
          <w:lang w:eastAsia="pl-PL"/>
        </w:rPr>
      </w:pPr>
      <w:r w:rsidRPr="009D79C9">
        <w:rPr>
          <w:rFonts w:asciiTheme="majorHAnsi" w:eastAsia="Times New Roman" w:hAnsiTheme="majorHAnsi" w:cs="Arial"/>
          <w:color w:val="222222"/>
          <w:lang w:eastAsia="pl-PL"/>
        </w:rPr>
        <w:t>Czynności kontrolne wskazane w pkt 5 w podpunktach</w:t>
      </w:r>
      <w:r w:rsidRPr="009D79C9">
        <w:rPr>
          <w:rFonts w:asciiTheme="majorHAnsi" w:hAnsiTheme="majorHAnsi"/>
        </w:rPr>
        <w:t xml:space="preserve"> punktach c-e, i-n (prowadzone dla  45 szkół</w:t>
      </w:r>
      <w:r w:rsidRPr="009D79C9">
        <w:rPr>
          <w:rFonts w:asciiTheme="majorHAnsi" w:eastAsia="Times New Roman" w:hAnsiTheme="majorHAnsi" w:cs="Arial"/>
          <w:color w:val="222222"/>
          <w:lang w:eastAsia="pl-PL"/>
        </w:rPr>
        <w:t>), odnoszą się łącznie do nie więcej niż 90 oddziałów szkolnych i odpowiednio do: 45 protokołów badania w szkole, 45 list nauczycieli i nie więcej niż 90 list uczniów, przy czym każdy z tych dokumentów będzie kontrolowany zarówno w wersji elektronicznej, jak i papierowej.</w:t>
      </w:r>
      <w:r>
        <w:rPr>
          <w:rFonts w:asciiTheme="majorHAnsi" w:eastAsia="Times New Roman" w:hAnsiTheme="majorHAnsi" w:cs="Arial"/>
          <w:color w:val="222222"/>
          <w:lang w:eastAsia="pl-PL"/>
        </w:rPr>
        <w:t xml:space="preserve">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Z uwagi na fakt, iż na obecnym etapie prowadzonych badań nie wytypowana została jeszcze konkretna próba szkół podlegających kontroli, nie jest znana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dokładna liczba kwestionariuszy, które trzeba będzie przeliczyć.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Tym niemniej warto wskazać, iż </w:t>
      </w:r>
      <w:r>
        <w:rPr>
          <w:rFonts w:asciiTheme="majorHAnsi" w:eastAsia="Times New Roman" w:hAnsiTheme="majorHAnsi" w:cs="Arial"/>
          <w:color w:val="222222"/>
          <w:lang w:eastAsia="pl-PL"/>
        </w:rPr>
        <w:t xml:space="preserve">w IV etapie badania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>ś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re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dnia liczba uczniów </w:t>
      </w:r>
      <w:r>
        <w:rPr>
          <w:rFonts w:asciiTheme="majorHAnsi" w:eastAsia="Times New Roman" w:hAnsiTheme="majorHAnsi" w:cs="Arial"/>
          <w:color w:val="222222"/>
          <w:lang w:eastAsia="pl-PL"/>
        </w:rPr>
        <w:t xml:space="preserve">uczestniczących w badaniu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>w oddziale wyn</w:t>
      </w:r>
      <w:r>
        <w:rPr>
          <w:rFonts w:asciiTheme="majorHAnsi" w:eastAsia="Times New Roman" w:hAnsiTheme="majorHAnsi" w:cs="Arial"/>
          <w:color w:val="222222"/>
          <w:lang w:eastAsia="pl-PL"/>
        </w:rPr>
        <w:t>iosła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22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 osoby,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średnia liczba uczniów </w:t>
      </w:r>
      <w:r>
        <w:rPr>
          <w:rFonts w:asciiTheme="majorHAnsi" w:eastAsia="Times New Roman" w:hAnsiTheme="majorHAnsi" w:cs="Arial"/>
          <w:color w:val="222222"/>
          <w:lang w:eastAsia="pl-PL"/>
        </w:rPr>
        <w:t>w szkole uczestniczących w badaniu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 –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 3</w:t>
      </w:r>
      <w:r>
        <w:rPr>
          <w:rFonts w:asciiTheme="majorHAnsi" w:eastAsia="Times New Roman" w:hAnsiTheme="majorHAnsi" w:cs="Arial"/>
          <w:color w:val="222222"/>
          <w:lang w:eastAsia="pl-PL"/>
        </w:rPr>
        <w:t>5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 osób,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zaś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średnia liczba nauc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>zycieli w szkole w całej próbie –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 7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 osób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.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Każdy uczeń wypełniał kwestionariusza dla ucznia</w:t>
      </w:r>
      <w:r>
        <w:rPr>
          <w:rFonts w:asciiTheme="majorHAnsi" w:eastAsia="Times New Roman" w:hAnsiTheme="majorHAnsi" w:cs="Arial"/>
          <w:color w:val="222222"/>
          <w:lang w:eastAsia="pl-PL"/>
        </w:rPr>
        <w:t xml:space="preserve">, Test Matryc Ravena w 2 wersjach (Standard i dla Zaawansowanych;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papierowe), nauczyciele wypełniali po jednym kwestionariuszu (elektroniczny lub papierowy). Liczeniu podlegają tylko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kwestionariusze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papierowe,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 xml:space="preserve">których dokładna 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liczba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>nie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 xml:space="preserve"> jest </w:t>
      </w:r>
      <w:r w:rsidRPr="00337CD4">
        <w:rPr>
          <w:rFonts w:asciiTheme="majorHAnsi" w:eastAsia="Times New Roman" w:hAnsiTheme="majorHAnsi" w:cs="Arial"/>
          <w:color w:val="222222"/>
          <w:lang w:eastAsia="pl-PL"/>
        </w:rPr>
        <w:t>aktualnie znana</w:t>
      </w:r>
      <w:r w:rsidRPr="00377E4E">
        <w:rPr>
          <w:rFonts w:asciiTheme="majorHAnsi" w:eastAsia="Times New Roman" w:hAnsiTheme="majorHAnsi" w:cs="Arial"/>
          <w:color w:val="222222"/>
          <w:lang w:eastAsia="pl-PL"/>
        </w:rPr>
        <w:t>.</w:t>
      </w:r>
    </w:p>
    <w:p w:rsidR="003B528E" w:rsidRPr="00287DE9" w:rsidRDefault="003B528E" w:rsidP="003B528E">
      <w:pPr>
        <w:pStyle w:val="Akapitzlist"/>
        <w:numPr>
          <w:ilvl w:val="0"/>
          <w:numId w:val="12"/>
        </w:numPr>
        <w:spacing w:before="24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Przebieg kontroli</w:t>
      </w:r>
      <w:r w:rsidRPr="00287DE9">
        <w:rPr>
          <w:rFonts w:asciiTheme="majorHAnsi" w:hAnsiTheme="majorHAnsi"/>
          <w:b/>
        </w:rPr>
        <w:t xml:space="preserve"> kodowania kwestionariuszy</w:t>
      </w:r>
    </w:p>
    <w:p w:rsidR="003B528E" w:rsidRPr="009E29F5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lastRenderedPageBreak/>
        <w:t>Kontrola rozpoczyna się po pomyślnym zakończeniu kontroli materiałów badawczych (tj. gdy w</w:t>
      </w:r>
      <w:r>
        <w:rPr>
          <w:rFonts w:asciiTheme="majorHAnsi" w:hAnsiTheme="majorHAnsi"/>
        </w:rPr>
        <w:t> </w:t>
      </w:r>
      <w:r w:rsidRPr="009E29F5">
        <w:rPr>
          <w:rFonts w:asciiTheme="majorHAnsi" w:hAnsiTheme="majorHAnsi"/>
        </w:rPr>
        <w:t>materiałach nie będzie już znaczących wad). Wykonawca po otrzymaniu materiałów niezbędnych do przeprowadzenia kodowania (wzorów kwestionariuszy, książek kodowych, instrukcji kodowania oraz struktury zbiory) koduje przekazaną próbkę kwestionariuszy uczniów, rodziców i nauczycieli. W</w:t>
      </w:r>
      <w:r>
        <w:rPr>
          <w:rFonts w:asciiTheme="majorHAnsi" w:hAnsiTheme="majorHAnsi"/>
        </w:rPr>
        <w:t> </w:t>
      </w:r>
      <w:r w:rsidRPr="009E29F5">
        <w:rPr>
          <w:rFonts w:asciiTheme="majorHAnsi" w:hAnsiTheme="majorHAnsi"/>
        </w:rPr>
        <w:t>kolejnym kroku przekazuje te zakodowania Zamawiającemu. Następnie Zamawiający przekazuje Wykonawcy oryginalne zakodowania kwestionariuszy. Wykonawca porównuje ze sobą kody uzyskane podczas oryginalnego kodowania z tymi, które stanowią wynik kodowania przeprowadzonego przez niego.</w:t>
      </w:r>
    </w:p>
    <w:p w:rsidR="003B528E" w:rsidRPr="009E29F5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>Poniżej wskazano czynności, które należy wykonać w ramach kontroli kodowania:</w:t>
      </w:r>
    </w:p>
    <w:p w:rsidR="003B528E" w:rsidRPr="009E29F5" w:rsidRDefault="003B528E" w:rsidP="003B528E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9E29F5">
        <w:rPr>
          <w:rFonts w:asciiTheme="majorHAnsi" w:hAnsiTheme="majorHAnsi"/>
        </w:rPr>
        <w:t xml:space="preserve">Przygotowanie schematu porównania kodów oryginalnych i zakodowanych powtórnie. Zaproponowany schemat wraz z przykładowym zastosowaniem należy przedstawić Zleceniodawcy do akceptacji </w:t>
      </w:r>
      <w:r>
        <w:rPr>
          <w:rFonts w:asciiTheme="majorHAnsi" w:hAnsiTheme="majorHAnsi"/>
        </w:rPr>
        <w:t>przed rozpoczęciem kontroli kodowania. Wykonawca jest zobowiązany uwzględnić uwagi Zleceniodawcy, jeżeli takie zostaną sformułowane. Rozpoczęcie kontroli kodowania jest dopuszczalne po ustaleniu schematu porównywania kodów.</w:t>
      </w:r>
      <w:r w:rsidRPr="009E29F5">
        <w:rPr>
          <w:rFonts w:asciiTheme="majorHAnsi" w:hAnsiTheme="majorHAnsi"/>
        </w:rPr>
        <w:t>.</w:t>
      </w:r>
    </w:p>
    <w:p w:rsidR="003B528E" w:rsidRDefault="003B528E" w:rsidP="003B528E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Przeprowadzenie kodowania losowo wybranej próbki kwestionariuszy: ucznia, nauczyciela</w:t>
      </w:r>
      <w:r>
        <w:rPr>
          <w:rFonts w:asciiTheme="majorHAnsi" w:hAnsiTheme="majorHAnsi"/>
        </w:rPr>
        <w:t xml:space="preserve"> oraz Testów Matryc Ravena (wersja Standard i dla Zaawansowanych)</w:t>
      </w:r>
      <w:r w:rsidRPr="004E5F3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Kwestionariusze do kodowania wskazuje Zleceniodawca.</w:t>
      </w:r>
    </w:p>
    <w:p w:rsidR="003B528E" w:rsidRDefault="003B528E" w:rsidP="003B528E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Przekazanie Zleceniodawcy zakodowani losowej próbki kwestionariuszy ucznia, nauczyciela oraz Testów Matryc Ravena.</w:t>
      </w:r>
    </w:p>
    <w:p w:rsidR="003B528E" w:rsidRPr="004E5F32" w:rsidRDefault="003B528E" w:rsidP="003B528E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Przekazanie Wykonawcy przez Zleceniodawcę oryginalnych zakodowań tych kwestionariuszy i testów (tj. zakodowań dostarczonych przez Wykonawcę V etapu badania w szkołach podstawowych).</w:t>
      </w:r>
    </w:p>
    <w:p w:rsidR="003B528E" w:rsidRPr="004E5F32" w:rsidRDefault="003B528E" w:rsidP="003B528E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Porównanie </w:t>
      </w:r>
      <w:r>
        <w:rPr>
          <w:rFonts w:asciiTheme="majorHAnsi" w:hAnsiTheme="majorHAnsi"/>
        </w:rPr>
        <w:t xml:space="preserve">przez Wykonawcę </w:t>
      </w:r>
      <w:r w:rsidRPr="004E5F32">
        <w:rPr>
          <w:rFonts w:asciiTheme="majorHAnsi" w:hAnsiTheme="majorHAnsi"/>
        </w:rPr>
        <w:t xml:space="preserve">kodów uzyskanych przez Wykonawcę w ponownym kodowaniu z kodowaniem oryginalnym, znajdującym się w bazach dostarczonych przez Zleceniodawcę. </w:t>
      </w:r>
    </w:p>
    <w:p w:rsidR="003B528E" w:rsidRPr="004E5F32" w:rsidRDefault="003B528E" w:rsidP="003B528E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Każdy rodzaj kwestionariusza będzie znajdował się w oddzielnej bazie. </w:t>
      </w:r>
      <w:r>
        <w:rPr>
          <w:rFonts w:asciiTheme="majorHAnsi" w:hAnsiTheme="majorHAnsi"/>
        </w:rPr>
        <w:t>Testy Matryc Ravena będą znajdowały się łącznie w odrębnej  bazie.</w:t>
      </w:r>
    </w:p>
    <w:p w:rsidR="003B528E" w:rsidRDefault="003B528E" w:rsidP="003B528E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Porównanie kodowania będzie odbywało się w ramach każdej z baz osobno. </w:t>
      </w:r>
    </w:p>
    <w:p w:rsidR="003B528E" w:rsidRPr="004E5F32" w:rsidRDefault="003B528E" w:rsidP="003B528E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Dla każde</w:t>
      </w:r>
      <w:r>
        <w:rPr>
          <w:rFonts w:asciiTheme="majorHAnsi" w:hAnsiTheme="majorHAnsi"/>
        </w:rPr>
        <w:t>j bazy</w:t>
      </w:r>
      <w:r w:rsidRPr="004E5F32">
        <w:rPr>
          <w:rFonts w:asciiTheme="majorHAnsi" w:hAnsiTheme="majorHAnsi"/>
        </w:rPr>
        <w:t xml:space="preserve"> należy policzyć osobno współczynnik błędów kodowania, przez który rozumie się liczbę różni</w:t>
      </w:r>
      <w:r>
        <w:rPr>
          <w:rFonts w:asciiTheme="majorHAnsi" w:hAnsiTheme="majorHAnsi"/>
        </w:rPr>
        <w:t>c</w:t>
      </w:r>
      <w:r w:rsidRPr="004E5F32">
        <w:rPr>
          <w:rFonts w:asciiTheme="majorHAnsi" w:hAnsiTheme="majorHAnsi"/>
        </w:rPr>
        <w:t xml:space="preserve"> między kodowaniem powtórnym i</w:t>
      </w:r>
      <w:r>
        <w:rPr>
          <w:rFonts w:asciiTheme="majorHAnsi" w:hAnsiTheme="majorHAnsi"/>
        </w:rPr>
        <w:t> </w:t>
      </w:r>
      <w:r w:rsidRPr="004E5F32">
        <w:rPr>
          <w:rFonts w:asciiTheme="majorHAnsi" w:hAnsiTheme="majorHAnsi"/>
        </w:rPr>
        <w:t xml:space="preserve">oryginalnym, </w:t>
      </w:r>
      <w:r>
        <w:rPr>
          <w:rFonts w:asciiTheme="majorHAnsi" w:hAnsiTheme="majorHAnsi"/>
        </w:rPr>
        <w:t>podzieloną przez li</w:t>
      </w:r>
      <w:r w:rsidRPr="004E5F32">
        <w:rPr>
          <w:rFonts w:asciiTheme="majorHAnsi" w:hAnsiTheme="majorHAnsi"/>
        </w:rPr>
        <w:t>czb</w:t>
      </w:r>
      <w:r>
        <w:rPr>
          <w:rFonts w:asciiTheme="majorHAnsi" w:hAnsiTheme="majorHAnsi"/>
        </w:rPr>
        <w:t>ę</w:t>
      </w:r>
      <w:r w:rsidRPr="004E5F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odpowiedzi </w:t>
      </w:r>
      <w:r w:rsidRPr="004E5F32">
        <w:rPr>
          <w:rFonts w:asciiTheme="majorHAnsi" w:hAnsiTheme="majorHAnsi"/>
        </w:rPr>
        <w:t xml:space="preserve">kodowanych w ramach każdej bazy. </w:t>
      </w:r>
    </w:p>
    <w:p w:rsidR="003B528E" w:rsidRPr="004E5F32" w:rsidRDefault="003B528E" w:rsidP="003B528E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W przypadku, gdy Wykonawca natrafi na różnicę w kodowaniu, należy sprawdzić, czy nie został popełniony błąd kodowania po stronie Wykonawcy.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Każdy kwestionariusz jest opisany kodami identyfikującymi szkołę i respondenta, w przypadku nauczyciela i ucznia także oddział klasowy. Nie będą one wliczać się do liczby zmiennych stanowiących podstawę wyliczania liczby błędów w kodach, jednak każda zauważona pomyłka w ich zakresie musi zostać odnotowana w ostatecznym raporcie.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>Po zakończeniu każdej tury kontroli kodowania Wykonawca przygotuje raport opisujący metodologię porównywania kodowania oryginalnego z powtórnym oraz zawierającym rezultaty badania jakości kodowania.</w:t>
      </w:r>
    </w:p>
    <w:p w:rsidR="003B528E" w:rsidRPr="004E5F32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lastRenderedPageBreak/>
        <w:t>Ponadto przedłoży zbiory danych (osobno dla każdego rodzaju kwestionariusza), zawierających wyniki oryginalnego kodowania, powtórnego kodowania oraz porównanie między nimi.</w:t>
      </w:r>
    </w:p>
    <w:p w:rsidR="003B528E" w:rsidRDefault="003B528E" w:rsidP="003B528E">
      <w:pPr>
        <w:spacing w:before="240" w:line="276" w:lineRule="auto"/>
        <w:jc w:val="both"/>
        <w:rPr>
          <w:rFonts w:asciiTheme="majorHAnsi" w:hAnsiTheme="majorHAnsi"/>
        </w:rPr>
      </w:pPr>
      <w:r w:rsidRPr="004E5F32">
        <w:rPr>
          <w:rFonts w:asciiTheme="majorHAnsi" w:hAnsiTheme="majorHAnsi"/>
        </w:rPr>
        <w:t xml:space="preserve">W przypadku wykrycia błędów w kodowaniu kolejne tury sprawdzania poprawności kodowania będą dotyczyć tylko </w:t>
      </w:r>
      <w:r w:rsidRPr="00337CD4">
        <w:rPr>
          <w:rFonts w:asciiTheme="majorHAnsi" w:hAnsiTheme="majorHAnsi"/>
        </w:rPr>
        <w:t>tych zbiorów, w których odsetek błędów przekroczył 1%.</w:t>
      </w:r>
    </w:p>
    <w:p w:rsidR="003B528E" w:rsidRPr="00CC6165" w:rsidRDefault="003B528E" w:rsidP="003B528E">
      <w:pPr>
        <w:pStyle w:val="Akapitzlist"/>
        <w:numPr>
          <w:ilvl w:val="0"/>
          <w:numId w:val="12"/>
        </w:numPr>
        <w:spacing w:before="240" w:line="276" w:lineRule="auto"/>
        <w:jc w:val="both"/>
        <w:rPr>
          <w:rFonts w:asciiTheme="majorHAnsi" w:hAnsiTheme="majorHAnsi"/>
          <w:b/>
        </w:rPr>
      </w:pPr>
      <w:r w:rsidRPr="00CC6165">
        <w:rPr>
          <w:rFonts w:asciiTheme="majorHAnsi" w:hAnsiTheme="majorHAnsi"/>
          <w:b/>
        </w:rPr>
        <w:t>Anonimizacja danych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Anonimizacja się rozpocznie się we wrześniu 2015. Wykonawcy przekazane zostaną:</w:t>
      </w:r>
    </w:p>
    <w:p w:rsidR="003B528E" w:rsidRPr="00CC6165" w:rsidRDefault="003B528E" w:rsidP="003B528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papierowe listy nauczycieli z etapu 1,</w:t>
      </w:r>
    </w:p>
    <w:p w:rsidR="003B528E" w:rsidRPr="00CC6165" w:rsidRDefault="003B528E" w:rsidP="003B528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papierowe listy nauczycieli z etapu 3, cz. 1,</w:t>
      </w:r>
    </w:p>
    <w:p w:rsidR="003B528E" w:rsidRPr="00CC6165" w:rsidRDefault="003B528E" w:rsidP="003B528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papierowe listy nauczycieli z etapu 4,</w:t>
      </w:r>
    </w:p>
    <w:p w:rsidR="003B528E" w:rsidRPr="00CC6165" w:rsidRDefault="003B528E" w:rsidP="003B528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papierowe listy nauczycieli z etapu 5,</w:t>
      </w:r>
    </w:p>
    <w:p w:rsidR="003B528E" w:rsidRPr="00CC6165" w:rsidRDefault="003B528E" w:rsidP="003B528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listę szkół ze wskazaniem LP (liczby porządkowej) każdej szkoły (niezbędne przy nadawaniu nazw plikom, por. niżej).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Materiały zostaną przekazane w siedzibie Instytutu Badań Edukacyjnych. Znajdują się one w</w:t>
      </w:r>
      <w:r>
        <w:rPr>
          <w:rFonts w:asciiTheme="majorHAnsi" w:hAnsiTheme="majorHAnsi"/>
        </w:rPr>
        <w:t> </w:t>
      </w:r>
      <w:r w:rsidRPr="00CC6165">
        <w:rPr>
          <w:rFonts w:asciiTheme="majorHAnsi" w:hAnsiTheme="majorHAnsi"/>
        </w:rPr>
        <w:t xml:space="preserve">segregatorach (etapy 3, cz. 1, 4, 5) oraz kartonach (etap 1). Wykonawca zobowiązany jest wyjąć papierowe listy nauczycieli z segregatorów i kartonów. W segregatorach materiały jednej szkoły, w tym lista nauczycieli, znajdują się w jednej koszulce. W kartonach materiały jednej szkoły, w tym lista nauczycieli, znajdują się w jednej kopercie formatu A4. Wykonawca jest zobowiązany sprawdzić, czy zebrał wszystkie niezbędne listy oraz poświadczyć to na piśmie. 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Każdorazowo przekazywanie materiałów między Wykonawcą i zamawiającym odbywać się będzie z</w:t>
      </w:r>
      <w:r>
        <w:rPr>
          <w:rFonts w:asciiTheme="majorHAnsi" w:hAnsiTheme="majorHAnsi"/>
        </w:rPr>
        <w:t> </w:t>
      </w:r>
      <w:r w:rsidRPr="00CC6165">
        <w:rPr>
          <w:rFonts w:asciiTheme="majorHAnsi" w:hAnsiTheme="majorHAnsi"/>
        </w:rPr>
        <w:t>podpisaniem stosowanego protokołu.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 xml:space="preserve">Anonimizacji podlegają listy nauczycieli z etapów: 1, 3, cz. 1, 4 oraz 5. W każdej szkole jest jedna lista nauczycieli w każdym etapie, razem: 180 x 4 = 720 list. Listy nauczycieli z etapów 1 oraz 3, cz. 1 liczą nie więcej niż 2 strony. Imiona i nazwiska pojawiają się na liście tylko raz. Listy z etapu 4 i 5 liczą jedną stronę, nazwiska nauczycieli pojawiają się na liście dwukrotnie (są dwukrotnie powtórzone). 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 xml:space="preserve">Anonimizacja polegać będzie na: </w:t>
      </w:r>
    </w:p>
    <w:p w:rsidR="003B528E" w:rsidRPr="00CC6165" w:rsidRDefault="003B528E" w:rsidP="003B5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Zasłonięciu/zamazaniu imion i nazwisk nauczycieli na listach uczniów.</w:t>
      </w:r>
    </w:p>
    <w:p w:rsidR="003B528E" w:rsidRPr="00CC6165" w:rsidRDefault="003B528E" w:rsidP="003B5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Zeskanowaniu list papierowych z zasłoniętymi/zamazanymi imionami i nazwiskami nauczycieli; na skanach nie może być żadnej możliwości odczytania zasłoniętych/zamazanych imion i</w:t>
      </w:r>
      <w:r>
        <w:rPr>
          <w:rFonts w:asciiTheme="majorHAnsi" w:hAnsiTheme="majorHAnsi"/>
        </w:rPr>
        <w:t> </w:t>
      </w:r>
      <w:r w:rsidRPr="00CC6165">
        <w:rPr>
          <w:rFonts w:asciiTheme="majorHAnsi" w:hAnsiTheme="majorHAnsi"/>
        </w:rPr>
        <w:t>nazwisk.</w:t>
      </w:r>
    </w:p>
    <w:p w:rsidR="003B528E" w:rsidRPr="00CC6165" w:rsidRDefault="003B528E" w:rsidP="003B5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Nadaniu zeskanowanym plikom (format pdf) odpowiednich nazw wg. poniższego schematu: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EWD_SP_EX_LP_lista_n.pdf</w:t>
      </w:r>
    </w:p>
    <w:p w:rsidR="003B528E" w:rsidRPr="00CC6165" w:rsidRDefault="003B528E" w:rsidP="003B528E">
      <w:pPr>
        <w:spacing w:after="0" w:line="276" w:lineRule="auto"/>
        <w:ind w:firstLine="709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gdzie:</w:t>
      </w:r>
    </w:p>
    <w:p w:rsidR="003B528E" w:rsidRPr="00CC6165" w:rsidRDefault="003B528E" w:rsidP="003B528E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X oznacza numer etapu (dopuszczalne wartości: 1, 3_1, 4, 5),</w:t>
      </w:r>
    </w:p>
    <w:p w:rsidR="003B528E" w:rsidRPr="00CC6165" w:rsidRDefault="003B528E" w:rsidP="003B528E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LP oznacza LP szkoły (dopuszczalne wartości od 01 do 180).</w:t>
      </w:r>
    </w:p>
    <w:p w:rsidR="003B528E" w:rsidRPr="00CC6165" w:rsidRDefault="003B528E" w:rsidP="003B5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Umieszczeniu list z każdego etapu w odpowiednim folderze; foldery powinny być nazwane następująco:</w:t>
      </w:r>
    </w:p>
    <w:p w:rsidR="003B528E" w:rsidRPr="00CC6165" w:rsidRDefault="003B528E" w:rsidP="003B528E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EWD_SP_E1 – dla etapu 1,</w:t>
      </w:r>
    </w:p>
    <w:p w:rsidR="003B528E" w:rsidRPr="00CC6165" w:rsidRDefault="003B528E" w:rsidP="003B528E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EWD_SP_E3_1 – dla etapu 3, cz. 1,</w:t>
      </w:r>
    </w:p>
    <w:p w:rsidR="003B528E" w:rsidRPr="00CC6165" w:rsidRDefault="003B528E" w:rsidP="003B528E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EWD_SP_E4 – dla etapu 4,</w:t>
      </w:r>
    </w:p>
    <w:p w:rsidR="003B528E" w:rsidRPr="00CC6165" w:rsidRDefault="003B528E" w:rsidP="003B528E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lastRenderedPageBreak/>
        <w:t>EWD_SP_E5 – dla etapu 5.</w:t>
      </w:r>
    </w:p>
    <w:p w:rsidR="003B528E" w:rsidRPr="00CC6165" w:rsidRDefault="003B528E" w:rsidP="003B5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Przekazaniu skanów oraz list papierowych do Zamawiającego celem weryfikacji i akceptacji. Zamawiający zweryfikuje materiały w ciągu 7 dni kalendarzowych.</w:t>
      </w:r>
    </w:p>
    <w:p w:rsidR="003B528E" w:rsidRPr="00CC6165" w:rsidRDefault="003B528E" w:rsidP="003B528E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 xml:space="preserve">W sytuacji wykrycia nieprawidłowości Zamawiający zwróci Wykonawcy wszystkie materiały do poprawy. Wykonawca jest zobowiązany zweryfikować </w:t>
      </w:r>
      <w:r w:rsidRPr="00CC6165">
        <w:rPr>
          <w:rFonts w:asciiTheme="majorHAnsi" w:hAnsiTheme="majorHAnsi"/>
          <w:u w:val="single"/>
        </w:rPr>
        <w:t>wszystkie materiały</w:t>
      </w:r>
      <w:r w:rsidRPr="00CC6165">
        <w:rPr>
          <w:rFonts w:asciiTheme="majorHAnsi" w:hAnsiTheme="majorHAnsi"/>
        </w:rPr>
        <w:t xml:space="preserve"> i nanieść stosowne poprawki w ciągu 5 dni kalendarzowych. Następnie przekaże materiału Zamawiającego celem powtórnej kontroli. Kontrole i poprawki będą następować tak długo, aż kontrola nie wykaże znaczących nieprawidłowości. Przejście do kolejnego kroku anonimizacji nastąpi, gdy kontrola nie wykaże znaczących nieprawidłowości.</w:t>
      </w:r>
    </w:p>
    <w:p w:rsidR="003B528E" w:rsidRPr="00CC6165" w:rsidRDefault="003B528E" w:rsidP="003B5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Zniszczeniu list oryginalnych po uzyskaniu akceptacji Zamawiającego.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Zastrzega się, że niektóre listy nauczycieli z etapów 4 i 5 mogą występować w 2 wersjach oznaczonych odręcznie jako listy oryginalne i skorygowane. Anonimizacji i skanowaniu podlegają listy skorygowane, natomiast zniszczeniu – zarówno oryginalne, jak i skorygowane.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Wykonawca zobowiązany jest wykonać czynności z punktów 1-5 w ciągu 7 dni kalendarzowych. Czynności z punktu 6 powinny zostać wykonane w ciągu 5 dni kalendarzowych od dnia uzyskania akceptacji Zamawiającego. Jako poświadczenie zniszczenia list nauczycieli Wykonawca w ciągu 2 dni kalendarzowych od zakończenia kroku 6 przekazuje protokół zniszczenia zawierający pełną listę zniszczonych materiałów. Protokół przygotowuje Wykonawca w porozumieniu z Zamawiającym przed przystąpieniem do kroku 6.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 xml:space="preserve">Skany każdorazowo przekazywane powinny być na płycie CD. Płyta powinna być podpisana następująco: 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EWD SP, zanonimizowane listy nauczycieli, e1, e3_1, e4, e5</w:t>
      </w:r>
    </w:p>
    <w:p w:rsidR="003B528E" w:rsidRPr="00CC6165" w:rsidRDefault="003B528E" w:rsidP="003B528E">
      <w:pPr>
        <w:spacing w:line="276" w:lineRule="auto"/>
        <w:jc w:val="both"/>
        <w:rPr>
          <w:rFonts w:asciiTheme="majorHAnsi" w:hAnsiTheme="majorHAnsi"/>
        </w:rPr>
      </w:pPr>
      <w:r w:rsidRPr="00CC6165">
        <w:rPr>
          <w:rFonts w:asciiTheme="majorHAnsi" w:hAnsiTheme="majorHAnsi"/>
        </w:rPr>
        <w:t>Każdorazowo na płycie należy wpisać datę jej przekazania Zamawiającemu.</w:t>
      </w:r>
    </w:p>
    <w:p w:rsidR="003B528E" w:rsidRPr="00CC6165" w:rsidRDefault="003B528E" w:rsidP="003B528E">
      <w:pPr>
        <w:spacing w:before="200" w:after="200" w:line="276" w:lineRule="auto"/>
        <w:jc w:val="both"/>
        <w:rPr>
          <w:rFonts w:asciiTheme="majorHAnsi" w:eastAsia="Times New Roman" w:hAnsiTheme="majorHAnsi" w:cstheme="minorHAnsi"/>
          <w:b/>
          <w:lang w:bidi="en-US"/>
        </w:rPr>
      </w:pPr>
      <w:r w:rsidRPr="00CC6165">
        <w:rPr>
          <w:rFonts w:asciiTheme="majorHAnsi" w:eastAsia="Times New Roman" w:hAnsiTheme="majorHAnsi" w:cstheme="minorHAnsi"/>
          <w:b/>
          <w:u w:val="single"/>
          <w:lang w:bidi="en-US"/>
        </w:rPr>
        <w:t>Wymagania dla firm zainteresowanych zamówieniem</w:t>
      </w:r>
      <w:r w:rsidRPr="00CC6165">
        <w:rPr>
          <w:rFonts w:asciiTheme="majorHAnsi" w:eastAsia="Times New Roman" w:hAnsiTheme="majorHAnsi" w:cstheme="minorHAnsi"/>
          <w:b/>
          <w:lang w:bidi="en-US"/>
        </w:rPr>
        <w:t>:</w:t>
      </w:r>
    </w:p>
    <w:p w:rsidR="003B528E" w:rsidRPr="00CC6165" w:rsidRDefault="003B528E" w:rsidP="003B528E">
      <w:pPr>
        <w:pStyle w:val="Akapitzlist"/>
        <w:numPr>
          <w:ilvl w:val="0"/>
          <w:numId w:val="11"/>
        </w:numPr>
        <w:spacing w:before="200" w:after="200" w:line="276" w:lineRule="auto"/>
        <w:jc w:val="both"/>
        <w:rPr>
          <w:rFonts w:asciiTheme="majorHAnsi" w:eastAsia="Arial" w:hAnsiTheme="majorHAnsi" w:cstheme="minorHAnsi"/>
          <w:bCs/>
          <w:lang w:bidi="en-US"/>
        </w:rPr>
      </w:pPr>
      <w:r w:rsidRPr="00CC6165">
        <w:rPr>
          <w:rFonts w:asciiTheme="majorHAnsi" w:eastAsia="Arial" w:hAnsiTheme="majorHAnsi" w:cstheme="minorHAnsi"/>
          <w:bCs/>
          <w:lang w:bidi="en-US"/>
        </w:rPr>
        <w:t xml:space="preserve">Firmy odpowiadające na ogłoszenie powinny wykazać się posiadaną wiedzą i doświadczeniem w realizacji zbliżonych usług. </w:t>
      </w:r>
      <w:r w:rsidRPr="00CC6165">
        <w:rPr>
          <w:rFonts w:asciiTheme="majorHAnsi" w:hAnsiTheme="majorHAnsi"/>
          <w:iCs/>
        </w:rPr>
        <w:t>Na potwierdzenie spełnienia niniejszego wymagania, Zamawiający żąda od oferentów wykazania się wykonaniem, a w przypadku świadczeń okresowych lub ciągłych również wykonywaniem z należytą starannością, w okresie ostatnich 3 lat przed upływem terminu składania ofert – a jeżeli okres prowadzenia działalności jest krótszy – w tym okresie co najmniej</w:t>
      </w:r>
      <w:r w:rsidRPr="00CC6165">
        <w:rPr>
          <w:rFonts w:asciiTheme="majorHAnsi" w:hAnsiTheme="majorHAnsi"/>
          <w:iCs/>
          <w:color w:val="1F497D"/>
        </w:rPr>
        <w:t>:</w:t>
      </w:r>
    </w:p>
    <w:p w:rsidR="003B528E" w:rsidRPr="00940E7E" w:rsidRDefault="003B528E" w:rsidP="003B528E">
      <w:pPr>
        <w:pStyle w:val="Akapitzlist"/>
        <w:spacing w:line="276" w:lineRule="auto"/>
        <w:jc w:val="both"/>
        <w:rPr>
          <w:rFonts w:asciiTheme="majorHAnsi" w:hAnsiTheme="majorHAnsi"/>
          <w:iCs/>
        </w:rPr>
      </w:pPr>
      <w:r w:rsidRPr="00940E7E">
        <w:rPr>
          <w:rFonts w:asciiTheme="majorHAnsi" w:hAnsiTheme="majorHAnsi"/>
          <w:iCs/>
          <w:color w:val="1F497D"/>
        </w:rPr>
        <w:t>-</w:t>
      </w:r>
      <w:r w:rsidRPr="00940E7E">
        <w:rPr>
          <w:rFonts w:asciiTheme="majorHAnsi" w:hAnsiTheme="majorHAnsi"/>
          <w:iCs/>
        </w:rPr>
        <w:t xml:space="preserve"> </w:t>
      </w:r>
      <w:r w:rsidRPr="00940E7E">
        <w:rPr>
          <w:rFonts w:asciiTheme="majorHAnsi" w:hAnsiTheme="majorHAnsi"/>
          <w:iCs/>
          <w:color w:val="000000"/>
        </w:rPr>
        <w:t xml:space="preserve">1 usługi polegającej na </w:t>
      </w:r>
      <w:r w:rsidRPr="00940E7E">
        <w:rPr>
          <w:rFonts w:asciiTheme="majorHAnsi" w:hAnsiTheme="majorHAnsi"/>
          <w:iCs/>
        </w:rPr>
        <w:t xml:space="preserve">przeprowadzeniu przynajmniej jednej kontroli dokumentacji badawczej </w:t>
      </w:r>
      <w:r w:rsidRPr="00940E7E">
        <w:rPr>
          <w:rFonts w:asciiTheme="majorHAnsi" w:hAnsiTheme="majorHAnsi"/>
          <w:iCs/>
          <w:u w:val="single"/>
        </w:rPr>
        <w:t xml:space="preserve">z badania ‎społecznego </w:t>
      </w:r>
      <w:r w:rsidRPr="00940E7E">
        <w:rPr>
          <w:rFonts w:asciiTheme="majorHAnsi" w:hAnsiTheme="majorHAnsi"/>
          <w:iCs/>
          <w:color w:val="000000"/>
          <w:u w:val="single"/>
        </w:rPr>
        <w:t>przeprowadzonego na próbie co najmniej 4000 dzieci, którego wartość była nie mniejsza niż 300 000,00 zł brutto</w:t>
      </w:r>
      <w:r w:rsidRPr="00940E7E">
        <w:rPr>
          <w:rFonts w:asciiTheme="majorHAnsi" w:hAnsiTheme="majorHAnsi"/>
          <w:iCs/>
          <w:color w:val="000000"/>
        </w:rPr>
        <w:t xml:space="preserve"> </w:t>
      </w:r>
      <w:r w:rsidRPr="00940E7E">
        <w:rPr>
          <w:rFonts w:asciiTheme="majorHAnsi" w:hAnsiTheme="majorHAnsi"/>
          <w:iCs/>
        </w:rPr>
        <w:t>(a w przypadku, jeżeli wartość zamówienia została w</w:t>
      </w:r>
      <w:r>
        <w:rPr>
          <w:rFonts w:asciiTheme="majorHAnsi" w:hAnsiTheme="majorHAnsi"/>
          <w:iCs/>
        </w:rPr>
        <w:t> </w:t>
      </w:r>
      <w:r w:rsidRPr="00940E7E">
        <w:rPr>
          <w:rFonts w:asciiTheme="majorHAnsi" w:hAnsiTheme="majorHAnsi"/>
          <w:iCs/>
        </w:rPr>
        <w:t>umowie wyrażona w walucie obcej – równowartość 300 000,00 zł wg średniego kursu NBP z</w:t>
      </w:r>
      <w:r>
        <w:rPr>
          <w:rFonts w:asciiTheme="majorHAnsi" w:hAnsiTheme="majorHAnsi"/>
          <w:iCs/>
        </w:rPr>
        <w:t> </w:t>
      </w:r>
      <w:r w:rsidRPr="00940E7E">
        <w:rPr>
          <w:rFonts w:asciiTheme="majorHAnsi" w:hAnsiTheme="majorHAnsi"/>
          <w:iCs/>
        </w:rPr>
        <w:t>dnia zawarcia umowy o wykonanie zamówienia);</w:t>
      </w:r>
    </w:p>
    <w:p w:rsidR="003B528E" w:rsidRPr="00940E7E" w:rsidRDefault="003B528E" w:rsidP="003B528E">
      <w:pPr>
        <w:pStyle w:val="Akapitzlist"/>
        <w:spacing w:line="276" w:lineRule="auto"/>
        <w:jc w:val="both"/>
        <w:rPr>
          <w:rFonts w:asciiTheme="majorHAnsi" w:eastAsia="Times New Roman" w:hAnsiTheme="majorHAnsi" w:cs="Arial"/>
          <w:iCs/>
          <w:lang w:eastAsia="pl-PL"/>
        </w:rPr>
      </w:pPr>
      <w:r w:rsidRPr="00940E7E">
        <w:rPr>
          <w:rFonts w:asciiTheme="majorHAnsi" w:hAnsiTheme="majorHAnsi"/>
          <w:iCs/>
        </w:rPr>
        <w:t xml:space="preserve">- </w:t>
      </w:r>
      <w:r w:rsidRPr="00940E7E">
        <w:rPr>
          <w:rFonts w:asciiTheme="majorHAnsi" w:eastAsia="Times New Roman" w:hAnsiTheme="majorHAnsi" w:cs="Arial"/>
          <w:iCs/>
          <w:lang w:eastAsia="pl-PL"/>
        </w:rPr>
        <w:t>1 usługi polegającej na przeprowadzeniu badania, w ramach którego realizował kodowanie testów osiągnięć szkolnych w badaniach międzynarodowych lub krajowych, w którym badanie było prowadzone na próbie co najmniej 4000 uczniów, lub  </w:t>
      </w:r>
    </w:p>
    <w:p w:rsidR="003B528E" w:rsidRDefault="003B528E" w:rsidP="003B528E">
      <w:pPr>
        <w:pStyle w:val="Akapitzlist"/>
        <w:spacing w:line="276" w:lineRule="auto"/>
        <w:jc w:val="both"/>
        <w:rPr>
          <w:rFonts w:asciiTheme="majorHAnsi" w:eastAsia="Times New Roman" w:hAnsiTheme="majorHAnsi" w:cs="Arial"/>
          <w:iCs/>
          <w:lang w:eastAsia="pl-PL"/>
        </w:rPr>
      </w:pPr>
      <w:r w:rsidRPr="00940E7E">
        <w:rPr>
          <w:rFonts w:asciiTheme="majorHAnsi" w:hAnsiTheme="majorHAnsi"/>
          <w:iCs/>
        </w:rPr>
        <w:t>-</w:t>
      </w:r>
      <w:r w:rsidRPr="00940E7E">
        <w:rPr>
          <w:rFonts w:asciiTheme="majorHAnsi" w:eastAsia="Times New Roman" w:hAnsiTheme="majorHAnsi" w:cs="Arial"/>
          <w:iCs/>
          <w:lang w:eastAsia="pl-PL"/>
        </w:rPr>
        <w:t xml:space="preserve"> 1 usługi polegającej przeprowadzeniu przynajmniej jednej kontroli kodowania kwestionariuszy, testów psychologicznych lub testów osiągnięć szkolnych w </w:t>
      </w:r>
      <w:r w:rsidRPr="00940E7E">
        <w:rPr>
          <w:rFonts w:asciiTheme="majorHAnsi" w:eastAsia="Times New Roman" w:hAnsiTheme="majorHAnsi" w:cs="Arial"/>
          <w:iCs/>
          <w:lang w:eastAsia="pl-PL"/>
        </w:rPr>
        <w:lastRenderedPageBreak/>
        <w:t>badaniu międzynarodowym lub krajowym, w którym badanie było prowadzone na próbie co najmniej 4000 uczniów.</w:t>
      </w:r>
    </w:p>
    <w:p w:rsidR="003B528E" w:rsidRPr="006D0ACF" w:rsidRDefault="003B528E" w:rsidP="003B528E">
      <w:pPr>
        <w:pStyle w:val="Akapitzlist"/>
        <w:spacing w:after="0" w:line="276" w:lineRule="auto"/>
        <w:jc w:val="both"/>
        <w:rPr>
          <w:rFonts w:asciiTheme="majorHAnsi" w:eastAsia="Times New Roman" w:hAnsiTheme="majorHAnsi" w:cs="Arial"/>
          <w:iCs/>
          <w:lang w:eastAsia="pl-PL"/>
        </w:rPr>
      </w:pPr>
      <w:r w:rsidRPr="00E4543A">
        <w:rPr>
          <w:rFonts w:asciiTheme="majorHAnsi" w:hAnsiTheme="majorHAnsi"/>
        </w:rPr>
        <w:t>Poświadczeniem posiadania wymaganego doświadczenia mogą być:</w:t>
      </w:r>
    </w:p>
    <w:p w:rsidR="003B528E" w:rsidRPr="00E4543A" w:rsidRDefault="003B528E" w:rsidP="003B528E">
      <w:pPr>
        <w:tabs>
          <w:tab w:val="left" w:pos="3535"/>
        </w:tabs>
        <w:spacing w:after="0" w:line="276" w:lineRule="auto"/>
        <w:ind w:left="709"/>
        <w:rPr>
          <w:rFonts w:asciiTheme="majorHAnsi" w:hAnsiTheme="majorHAnsi"/>
        </w:rPr>
      </w:pPr>
      <w:r w:rsidRPr="00E4543A">
        <w:rPr>
          <w:rFonts w:asciiTheme="majorHAnsi" w:hAnsiTheme="majorHAnsi"/>
        </w:rPr>
        <w:t>- referencje,</w:t>
      </w:r>
    </w:p>
    <w:p w:rsidR="003B528E" w:rsidRPr="00E4543A" w:rsidRDefault="003B528E" w:rsidP="003B528E">
      <w:pPr>
        <w:tabs>
          <w:tab w:val="left" w:pos="3535"/>
        </w:tabs>
        <w:spacing w:after="0" w:line="276" w:lineRule="auto"/>
        <w:ind w:left="709"/>
        <w:rPr>
          <w:rFonts w:asciiTheme="majorHAnsi" w:hAnsiTheme="majorHAnsi"/>
        </w:rPr>
      </w:pPr>
      <w:r w:rsidRPr="00E4543A">
        <w:rPr>
          <w:rFonts w:asciiTheme="majorHAnsi" w:hAnsiTheme="majorHAnsi"/>
        </w:rPr>
        <w:t>- kserokopia stosownej umowy.</w:t>
      </w:r>
    </w:p>
    <w:p w:rsidR="003B528E" w:rsidRPr="00940E7E" w:rsidRDefault="003B528E" w:rsidP="003B528E">
      <w:pPr>
        <w:pStyle w:val="Akapitzlist"/>
        <w:spacing w:line="276" w:lineRule="auto"/>
        <w:jc w:val="both"/>
        <w:rPr>
          <w:rFonts w:asciiTheme="majorHAnsi" w:eastAsia="Times New Roman" w:hAnsiTheme="majorHAnsi" w:cs="Arial"/>
          <w:lang w:eastAsia="pl-PL"/>
        </w:rPr>
      </w:pPr>
    </w:p>
    <w:p w:rsidR="003B528E" w:rsidRPr="0057586B" w:rsidRDefault="003B528E" w:rsidP="003B528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"/>
        </w:rPr>
      </w:pPr>
      <w:r w:rsidRPr="00E35B35">
        <w:rPr>
          <w:rFonts w:asciiTheme="majorHAnsi" w:eastAsia="Times New Roman" w:hAnsiTheme="majorHAnsi" w:cs="Arial"/>
          <w:lang w:eastAsia="pl-PL"/>
        </w:rPr>
        <w:t xml:space="preserve">Kontrolę musi cechować bezstronność przez co Zamawiający rozumie, że kontrola będzie przeprowadzona przez Wykonawcę niezależnego od podmiotu realizującego badanie będące przedmiotem kontroli. </w:t>
      </w:r>
      <w:r w:rsidRPr="00E35B35">
        <w:rPr>
          <w:rFonts w:asciiTheme="majorHAnsi" w:eastAsia="Times New Roman" w:hAnsiTheme="majorHAnsi" w:cstheme="minorHAnsi"/>
          <w:lang w:bidi="en-US"/>
        </w:rPr>
        <w:t xml:space="preserve">Firmy odpowiadające na </w:t>
      </w:r>
      <w:r>
        <w:rPr>
          <w:rFonts w:asciiTheme="majorHAnsi" w:eastAsia="Times New Roman" w:hAnsiTheme="majorHAnsi" w:cstheme="minorHAnsi"/>
          <w:lang w:bidi="en-US"/>
        </w:rPr>
        <w:t>zapytanie ofertowe</w:t>
      </w:r>
      <w:r w:rsidRPr="00E35B35">
        <w:rPr>
          <w:rFonts w:asciiTheme="majorHAnsi" w:eastAsia="Times New Roman" w:hAnsiTheme="majorHAnsi" w:cstheme="minorHAnsi"/>
          <w:lang w:bidi="en-US"/>
        </w:rPr>
        <w:t xml:space="preserve"> powinny wykazać (przedstawiając stosowne oświadczenie), że są podmiotem niezależnym od wykonawcy IV etapu badania podłużnego EWD w szkołach</w:t>
      </w:r>
      <w:r w:rsidRPr="00E35B35">
        <w:rPr>
          <w:rFonts w:eastAsia="Times New Roman" w:cstheme="minorHAnsi"/>
          <w:lang w:bidi="en-US"/>
        </w:rPr>
        <w:t xml:space="preserve"> podstawowych, </w:t>
      </w:r>
      <w:r w:rsidRPr="0057586B">
        <w:rPr>
          <w:rFonts w:asciiTheme="majorHAnsi" w:eastAsia="Times New Roman" w:hAnsiTheme="majorHAnsi" w:cstheme="minorHAnsi"/>
          <w:lang w:bidi="en-US"/>
        </w:rPr>
        <w:t xml:space="preserve">podmiotem nie powiązanym z nim kapitałowo oraz osobowo, </w:t>
      </w:r>
      <w:r w:rsidRPr="0057586B">
        <w:rPr>
          <w:rFonts w:asciiTheme="majorHAnsi" w:hAnsiTheme="majorHAnsi" w:cs="Calibri"/>
        </w:rPr>
        <w:t xml:space="preserve">w szczególności członkiem organów Wykonawcy nie jest osoba będąca jednocześnie członkiem organów podmiotu </w:t>
      </w:r>
      <w:r w:rsidRPr="00E35B35">
        <w:rPr>
          <w:rFonts w:asciiTheme="majorHAnsi" w:eastAsia="Times New Roman" w:hAnsiTheme="majorHAnsi" w:cs="Arial"/>
          <w:color w:val="333333"/>
          <w:lang w:eastAsia="pl-PL"/>
        </w:rPr>
        <w:t>realizując</w:t>
      </w:r>
      <w:r w:rsidRPr="0057586B">
        <w:rPr>
          <w:rFonts w:asciiTheme="majorHAnsi" w:eastAsia="Times New Roman" w:hAnsiTheme="majorHAnsi" w:cs="Arial"/>
          <w:color w:val="333333"/>
          <w:lang w:eastAsia="pl-PL"/>
        </w:rPr>
        <w:t>ego</w:t>
      </w:r>
      <w:r w:rsidRPr="00E35B35">
        <w:rPr>
          <w:rFonts w:asciiTheme="majorHAnsi" w:eastAsia="Times New Roman" w:hAnsiTheme="majorHAnsi" w:cs="Arial"/>
          <w:color w:val="333333"/>
          <w:lang w:eastAsia="pl-PL"/>
        </w:rPr>
        <w:t xml:space="preserve"> badanie będące przedmiotem kontroli</w:t>
      </w:r>
      <w:r w:rsidRPr="0057586B">
        <w:rPr>
          <w:rFonts w:asciiTheme="majorHAnsi" w:hAnsiTheme="majorHAnsi" w:cs="Calibri"/>
        </w:rPr>
        <w:t>, jak również wspólnik, właściciel lub współwłaściciel wykonawcy badania będącego przedmiotem kontroli nie jest wspólnikiem, właścicielem lub współwłaścicielem</w:t>
      </w:r>
      <w:r w:rsidRPr="0057586B">
        <w:rPr>
          <w:rFonts w:asciiTheme="majorHAnsi" w:hAnsiTheme="majorHAnsi" w:cs="Calibri"/>
          <w:b/>
        </w:rPr>
        <w:t xml:space="preserve"> </w:t>
      </w:r>
      <w:r w:rsidRPr="0057586B">
        <w:rPr>
          <w:rFonts w:asciiTheme="majorHAnsi" w:hAnsiTheme="majorHAnsi" w:cs="Calibri"/>
        </w:rPr>
        <w:t>Wykonawcy. P</w:t>
      </w:r>
      <w:r w:rsidRPr="0057586B">
        <w:rPr>
          <w:rFonts w:asciiTheme="majorHAnsi" w:eastAsia="Times New Roman" w:hAnsiTheme="majorHAnsi" w:cstheme="minorHAnsi"/>
          <w:lang w:bidi="en-US"/>
        </w:rPr>
        <w:t>onadto Wykonawca nie będzie wykonywać kontroli dokumentacji i kodowania, stanowiącej przedmiot niniejszego ogłoszenia, za pomocą osób w jakikolwiek sposób i w jakimkolwiek wymiarze zaangażowanych w wykonanie badania stanowiącego przedmiot kontroli.</w:t>
      </w:r>
    </w:p>
    <w:p w:rsidR="00735B86" w:rsidRDefault="00735B86" w:rsidP="00735B86">
      <w:pPr>
        <w:spacing w:before="200" w:after="200" w:line="276" w:lineRule="auto"/>
        <w:jc w:val="both"/>
        <w:rPr>
          <w:rFonts w:eastAsia="Times New Roman" w:cstheme="minorHAnsi"/>
          <w:u w:val="single"/>
          <w:lang w:bidi="en-US"/>
        </w:rPr>
      </w:pPr>
    </w:p>
    <w:p w:rsidR="00735B86" w:rsidRPr="00907F06" w:rsidRDefault="00735B86" w:rsidP="00735B86">
      <w:pPr>
        <w:spacing w:after="0" w:line="276" w:lineRule="auto"/>
        <w:jc w:val="both"/>
        <w:rPr>
          <w:rFonts w:eastAsia="Times New Roman" w:cstheme="minorHAnsi"/>
          <w:b/>
          <w:u w:val="single"/>
          <w:lang w:bidi="en-US"/>
        </w:rPr>
      </w:pPr>
      <w:r w:rsidRPr="00907F06">
        <w:rPr>
          <w:rFonts w:eastAsia="Times New Roman" w:cstheme="minorHAnsi"/>
          <w:b/>
          <w:u w:val="single"/>
          <w:lang w:bidi="en-US"/>
        </w:rPr>
        <w:t>Kryteria wyboru firmy-wykonawcy zamówienia</w:t>
      </w:r>
      <w:r w:rsidRPr="00907F06">
        <w:rPr>
          <w:rFonts w:eastAsia="Times New Roman" w:cstheme="minorHAnsi"/>
          <w:b/>
          <w:lang w:bidi="en-US"/>
        </w:rPr>
        <w:t>:</w:t>
      </w:r>
    </w:p>
    <w:p w:rsidR="00735B86" w:rsidRPr="00E35B35" w:rsidRDefault="00735B86" w:rsidP="00735B86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lang w:eastAsia="pl-PL"/>
        </w:rPr>
      </w:pPr>
      <w:r w:rsidRPr="00E35B35">
        <w:rPr>
          <w:rFonts w:asciiTheme="majorHAnsi" w:eastAsia="Times New Roman" w:hAnsiTheme="majorHAnsi" w:cs="Arial"/>
          <w:lang w:eastAsia="pl-PL"/>
        </w:rPr>
        <w:t>Oferty będą oceniane z uwzględnieniem dwóch kryteriów:</w:t>
      </w:r>
    </w:p>
    <w:p w:rsidR="00735B86" w:rsidRPr="00E35B35" w:rsidRDefault="00735B86" w:rsidP="00735B86">
      <w:pPr>
        <w:shd w:val="clear" w:color="auto" w:fill="FFFFFF"/>
        <w:spacing w:after="0" w:line="408" w:lineRule="atLeast"/>
        <w:ind w:left="450"/>
        <w:rPr>
          <w:rFonts w:asciiTheme="majorHAnsi" w:eastAsia="Times New Roman" w:hAnsiTheme="majorHAnsi" w:cs="Arial"/>
          <w:lang w:eastAsia="pl-PL"/>
        </w:rPr>
      </w:pPr>
      <w:r w:rsidRPr="00907F06">
        <w:rPr>
          <w:rFonts w:asciiTheme="majorHAnsi" w:eastAsia="Times New Roman" w:hAnsiTheme="majorHAnsi" w:cs="Arial"/>
          <w:lang w:eastAsia="pl-PL"/>
        </w:rPr>
        <w:t>• doświadczenie Wykonawcy,</w:t>
      </w:r>
    </w:p>
    <w:p w:rsidR="00735B86" w:rsidRPr="00E35B35" w:rsidRDefault="00735B86" w:rsidP="00735B86">
      <w:pPr>
        <w:shd w:val="clear" w:color="auto" w:fill="FFFFFF"/>
        <w:spacing w:after="0" w:line="408" w:lineRule="atLeast"/>
        <w:ind w:left="450"/>
        <w:rPr>
          <w:rFonts w:asciiTheme="majorHAnsi" w:eastAsia="Times New Roman" w:hAnsiTheme="majorHAnsi" w:cs="Arial"/>
          <w:lang w:eastAsia="pl-PL"/>
        </w:rPr>
      </w:pPr>
      <w:r w:rsidRPr="00E35B35">
        <w:rPr>
          <w:rFonts w:asciiTheme="majorHAnsi" w:eastAsia="Times New Roman" w:hAnsiTheme="majorHAnsi" w:cs="Arial"/>
          <w:lang w:eastAsia="pl-PL"/>
        </w:rPr>
        <w:t xml:space="preserve">• cena </w:t>
      </w:r>
      <w:r w:rsidRPr="00907F06">
        <w:rPr>
          <w:rFonts w:asciiTheme="majorHAnsi" w:eastAsia="Times New Roman" w:hAnsiTheme="majorHAnsi" w:cs="Arial"/>
          <w:lang w:eastAsia="pl-PL"/>
        </w:rPr>
        <w:t>(c</w:t>
      </w:r>
      <w:r w:rsidRPr="00E35B35">
        <w:rPr>
          <w:rFonts w:asciiTheme="majorHAnsi" w:eastAsia="Times New Roman" w:hAnsiTheme="majorHAnsi" w:cs="Arial"/>
          <w:lang w:eastAsia="pl-PL"/>
        </w:rPr>
        <w:t>ena oferty zostanie podana przez Wykonawcę w PLN</w:t>
      </w:r>
      <w:r w:rsidRPr="00907F06">
        <w:rPr>
          <w:rFonts w:asciiTheme="majorHAnsi" w:eastAsia="Times New Roman" w:hAnsiTheme="majorHAnsi" w:cs="Arial"/>
          <w:lang w:eastAsia="pl-PL"/>
        </w:rPr>
        <w:t>)</w:t>
      </w:r>
      <w:r w:rsidRPr="00E35B35">
        <w:rPr>
          <w:rFonts w:asciiTheme="majorHAnsi" w:eastAsia="Times New Roman" w:hAnsiTheme="majorHAnsi" w:cs="Arial"/>
          <w:lang w:eastAsia="pl-PL"/>
        </w:rPr>
        <w:t>.</w:t>
      </w:r>
    </w:p>
    <w:p w:rsidR="00735B86" w:rsidRPr="00907F06" w:rsidRDefault="00735B86" w:rsidP="00735B86">
      <w:pPr>
        <w:spacing w:before="200" w:after="200" w:line="276" w:lineRule="auto"/>
        <w:ind w:left="357" w:hanging="357"/>
        <w:jc w:val="both"/>
        <w:rPr>
          <w:rFonts w:eastAsia="Times New Roman" w:cstheme="minorHAnsi"/>
          <w:b/>
          <w:lang w:eastAsia="pl-PL"/>
        </w:rPr>
      </w:pPr>
      <w:r w:rsidRPr="00907F06">
        <w:rPr>
          <w:rFonts w:eastAsia="Times New Roman" w:cstheme="minorHAnsi"/>
          <w:b/>
          <w:u w:val="single"/>
          <w:lang w:bidi="en-US"/>
        </w:rPr>
        <w:t>Sposób, miejsce i termin składania zgłoszeń</w:t>
      </w:r>
      <w:r w:rsidRPr="00907F06">
        <w:rPr>
          <w:rFonts w:eastAsia="Times New Roman" w:cstheme="minorHAnsi"/>
          <w:b/>
          <w:lang w:bidi="en-US"/>
        </w:rPr>
        <w:t>:</w:t>
      </w:r>
    </w:p>
    <w:p w:rsidR="00735B86" w:rsidRPr="00940E7E" w:rsidRDefault="00735B86" w:rsidP="00735B86">
      <w:pPr>
        <w:spacing w:before="20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940E7E">
        <w:rPr>
          <w:rFonts w:eastAsia="Times New Roman" w:cstheme="minorHAnsi"/>
          <w:lang w:bidi="en-US"/>
        </w:rPr>
        <w:t>Odpowiedź na zapytanie ofertowe prosimy składać:</w:t>
      </w:r>
    </w:p>
    <w:p w:rsidR="00735B86" w:rsidRPr="00940E7E" w:rsidRDefault="00735B86" w:rsidP="00735B86">
      <w:pPr>
        <w:numPr>
          <w:ilvl w:val="0"/>
          <w:numId w:val="10"/>
        </w:numPr>
        <w:spacing w:before="120" w:after="120" w:line="276" w:lineRule="auto"/>
        <w:ind w:left="714" w:hanging="357"/>
        <w:contextualSpacing/>
        <w:jc w:val="both"/>
        <w:rPr>
          <w:rFonts w:eastAsia="Times New Roman" w:cstheme="minorHAnsi"/>
          <w:lang w:eastAsia="pl-PL"/>
        </w:rPr>
      </w:pPr>
      <w:r w:rsidRPr="00940E7E">
        <w:rPr>
          <w:rFonts w:eastAsia="Symbol" w:cstheme="minorHAnsi"/>
          <w:lang w:bidi="en-US"/>
        </w:rPr>
        <w:t xml:space="preserve">przesyłając na </w:t>
      </w:r>
      <w:r w:rsidRPr="00940E7E">
        <w:rPr>
          <w:rFonts w:eastAsia="Times New Roman" w:cstheme="minorHAnsi"/>
          <w:lang w:bidi="en-US"/>
        </w:rPr>
        <w:t xml:space="preserve">adres: Instytut Badań Edukacyjnych, ul. Górczewska 8, 01-180 Warszawa </w:t>
      </w:r>
      <w:r w:rsidRPr="00940E7E">
        <w:rPr>
          <w:rFonts w:eastAsia="Times New Roman" w:cstheme="minorHAnsi"/>
          <w:lang w:bidi="en-US"/>
        </w:rPr>
        <w:br/>
        <w:t xml:space="preserve">z dopiskiem „ </w:t>
      </w:r>
      <w:r>
        <w:rPr>
          <w:rFonts w:eastAsia="Times New Roman" w:cstheme="minorHAnsi"/>
          <w:lang w:bidi="en-US"/>
        </w:rPr>
        <w:t>Kontrola dokumentacji i kodowania kwestionariuszy badania EWD</w:t>
      </w:r>
      <w:r w:rsidRPr="00940E7E">
        <w:rPr>
          <w:rFonts w:eastAsia="Times New Roman" w:cstheme="minorHAnsi"/>
          <w:lang w:bidi="en-US"/>
        </w:rPr>
        <w:t>”,</w:t>
      </w:r>
    </w:p>
    <w:p w:rsidR="00735B86" w:rsidRDefault="00735B86" w:rsidP="00735B86">
      <w:pPr>
        <w:numPr>
          <w:ilvl w:val="0"/>
          <w:numId w:val="10"/>
        </w:numPr>
        <w:spacing w:before="120" w:after="120" w:line="276" w:lineRule="auto"/>
        <w:ind w:left="714" w:hanging="357"/>
        <w:contextualSpacing/>
        <w:jc w:val="both"/>
        <w:rPr>
          <w:rFonts w:eastAsia="Times New Roman" w:cstheme="minorHAnsi"/>
          <w:lang w:bidi="en-US"/>
        </w:rPr>
      </w:pPr>
      <w:r w:rsidRPr="00940E7E">
        <w:rPr>
          <w:rFonts w:eastAsia="Times New Roman" w:cstheme="minorHAnsi"/>
          <w:lang w:bidi="en-US"/>
        </w:rPr>
        <w:t xml:space="preserve">przesyłając pocztą elektroniczną na adres: </w:t>
      </w:r>
      <w:hyperlink r:id="rId5" w:history="1">
        <w:r w:rsidRPr="0006189D">
          <w:rPr>
            <w:rStyle w:val="Hipercze"/>
            <w:rFonts w:eastAsia="Times New Roman" w:cstheme="minorHAnsi"/>
            <w:lang w:bidi="en-US"/>
          </w:rPr>
          <w:t>a.surgiel@ibe.edu.pl</w:t>
        </w:r>
      </w:hyperlink>
      <w:r>
        <w:rPr>
          <w:rFonts w:eastAsia="Times New Roman" w:cstheme="minorHAnsi"/>
          <w:lang w:bidi="en-US"/>
        </w:rPr>
        <w:t>.</w:t>
      </w:r>
    </w:p>
    <w:p w:rsidR="00735B86" w:rsidRPr="00940E7E" w:rsidRDefault="00735B86" w:rsidP="00735B86">
      <w:pPr>
        <w:spacing w:before="120" w:after="120" w:line="276" w:lineRule="auto"/>
        <w:ind w:left="714"/>
        <w:contextualSpacing/>
        <w:jc w:val="both"/>
        <w:rPr>
          <w:rFonts w:eastAsia="Times New Roman" w:cstheme="minorHAnsi"/>
          <w:lang w:bidi="en-US"/>
        </w:rPr>
      </w:pPr>
    </w:p>
    <w:p w:rsidR="00735B86" w:rsidRPr="00907F06" w:rsidRDefault="00735B86" w:rsidP="00735B86">
      <w:pPr>
        <w:spacing w:before="200" w:after="200" w:line="276" w:lineRule="auto"/>
        <w:jc w:val="both"/>
        <w:rPr>
          <w:rFonts w:cstheme="minorHAnsi"/>
          <w:b/>
          <w:u w:val="single"/>
        </w:rPr>
      </w:pPr>
      <w:r w:rsidRPr="00907F06">
        <w:rPr>
          <w:rFonts w:eastAsia="Times New Roman" w:cstheme="minorHAnsi"/>
          <w:b/>
          <w:u w:val="single"/>
          <w:lang w:bidi="en-US"/>
        </w:rPr>
        <w:t>Zgłoszen</w:t>
      </w:r>
      <w:r>
        <w:rPr>
          <w:rFonts w:eastAsia="Times New Roman" w:cstheme="minorHAnsi"/>
          <w:b/>
          <w:u w:val="single"/>
          <w:lang w:bidi="en-US"/>
        </w:rPr>
        <w:t>ia należy składać w terminie do 22 maja 2015 r.</w:t>
      </w:r>
    </w:p>
    <w:p w:rsidR="00735B86" w:rsidRPr="00940E7E" w:rsidRDefault="00735B86" w:rsidP="00735B86">
      <w:pPr>
        <w:spacing w:before="200" w:after="200" w:line="276" w:lineRule="auto"/>
        <w:ind w:left="357" w:hanging="357"/>
        <w:jc w:val="both"/>
        <w:rPr>
          <w:rFonts w:eastAsia="Times New Roman" w:cstheme="minorHAnsi"/>
          <w:u w:val="single"/>
          <w:lang w:bidi="en-US"/>
        </w:rPr>
      </w:pPr>
    </w:p>
    <w:p w:rsidR="00735B86" w:rsidRPr="00940E7E" w:rsidRDefault="00735B86" w:rsidP="00735B86">
      <w:pPr>
        <w:spacing w:before="200" w:after="200" w:line="276" w:lineRule="auto"/>
        <w:jc w:val="both"/>
        <w:rPr>
          <w:rFonts w:eastAsia="Times New Roman" w:cstheme="minorHAnsi"/>
          <w:lang w:eastAsia="pl-PL"/>
        </w:rPr>
      </w:pPr>
    </w:p>
    <w:p w:rsidR="00735B86" w:rsidRDefault="00735B86"/>
    <w:sectPr w:rsidR="00735B86" w:rsidSect="009E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D7A"/>
    <w:multiLevelType w:val="hybridMultilevel"/>
    <w:tmpl w:val="4262351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4F421FA"/>
    <w:multiLevelType w:val="multilevel"/>
    <w:tmpl w:val="747EAB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B61049E"/>
    <w:multiLevelType w:val="multilevel"/>
    <w:tmpl w:val="AED817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5C113A7"/>
    <w:multiLevelType w:val="hybridMultilevel"/>
    <w:tmpl w:val="68005B0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726137D"/>
    <w:multiLevelType w:val="hybridMultilevel"/>
    <w:tmpl w:val="CB30A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521"/>
    <w:multiLevelType w:val="hybridMultilevel"/>
    <w:tmpl w:val="84E23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B0575"/>
    <w:multiLevelType w:val="hybridMultilevel"/>
    <w:tmpl w:val="314C89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BB0A8D"/>
    <w:multiLevelType w:val="hybridMultilevel"/>
    <w:tmpl w:val="060E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54A4"/>
    <w:multiLevelType w:val="hybridMultilevel"/>
    <w:tmpl w:val="C682F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385B"/>
    <w:multiLevelType w:val="hybridMultilevel"/>
    <w:tmpl w:val="8CD2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C2886"/>
    <w:multiLevelType w:val="hybridMultilevel"/>
    <w:tmpl w:val="91BEC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D25"/>
    <w:multiLevelType w:val="hybridMultilevel"/>
    <w:tmpl w:val="AF08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38E7"/>
    <w:multiLevelType w:val="hybridMultilevel"/>
    <w:tmpl w:val="0BD66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22A66"/>
    <w:multiLevelType w:val="hybridMultilevel"/>
    <w:tmpl w:val="B52AA0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A3934"/>
    <w:multiLevelType w:val="hybridMultilevel"/>
    <w:tmpl w:val="AD449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28E"/>
    <w:rsid w:val="000127B4"/>
    <w:rsid w:val="00013EAA"/>
    <w:rsid w:val="00017531"/>
    <w:rsid w:val="00017921"/>
    <w:rsid w:val="000232DD"/>
    <w:rsid w:val="00026096"/>
    <w:rsid w:val="00030691"/>
    <w:rsid w:val="000544E3"/>
    <w:rsid w:val="000617FC"/>
    <w:rsid w:val="00063205"/>
    <w:rsid w:val="000661CA"/>
    <w:rsid w:val="00072325"/>
    <w:rsid w:val="0007531F"/>
    <w:rsid w:val="00076A63"/>
    <w:rsid w:val="0008263B"/>
    <w:rsid w:val="000849D2"/>
    <w:rsid w:val="00094891"/>
    <w:rsid w:val="000A6C6C"/>
    <w:rsid w:val="000A7E64"/>
    <w:rsid w:val="000C129F"/>
    <w:rsid w:val="000C3B53"/>
    <w:rsid w:val="000C51FF"/>
    <w:rsid w:val="000D272C"/>
    <w:rsid w:val="000D3486"/>
    <w:rsid w:val="000D5A7A"/>
    <w:rsid w:val="000E03A2"/>
    <w:rsid w:val="000E1E90"/>
    <w:rsid w:val="000E4C90"/>
    <w:rsid w:val="000E6B90"/>
    <w:rsid w:val="000F0B3A"/>
    <w:rsid w:val="00100827"/>
    <w:rsid w:val="00123857"/>
    <w:rsid w:val="00131266"/>
    <w:rsid w:val="00141FEE"/>
    <w:rsid w:val="00154C59"/>
    <w:rsid w:val="001642F0"/>
    <w:rsid w:val="00167B6A"/>
    <w:rsid w:val="00177BB9"/>
    <w:rsid w:val="0019001C"/>
    <w:rsid w:val="00195AF4"/>
    <w:rsid w:val="001A3CEB"/>
    <w:rsid w:val="001B2037"/>
    <w:rsid w:val="001B4736"/>
    <w:rsid w:val="001B4E82"/>
    <w:rsid w:val="001E248B"/>
    <w:rsid w:val="001F22E5"/>
    <w:rsid w:val="001F2982"/>
    <w:rsid w:val="00203A46"/>
    <w:rsid w:val="002261E8"/>
    <w:rsid w:val="00244CB1"/>
    <w:rsid w:val="00246EF9"/>
    <w:rsid w:val="00247A79"/>
    <w:rsid w:val="00247A85"/>
    <w:rsid w:val="00253081"/>
    <w:rsid w:val="00254E50"/>
    <w:rsid w:val="002652DF"/>
    <w:rsid w:val="00273B3C"/>
    <w:rsid w:val="00295BE7"/>
    <w:rsid w:val="002B0F13"/>
    <w:rsid w:val="002B74D9"/>
    <w:rsid w:val="002D4DA3"/>
    <w:rsid w:val="002E0215"/>
    <w:rsid w:val="002E038D"/>
    <w:rsid w:val="002E4AE7"/>
    <w:rsid w:val="002F2654"/>
    <w:rsid w:val="002F42D0"/>
    <w:rsid w:val="002F54C6"/>
    <w:rsid w:val="00305326"/>
    <w:rsid w:val="003063F3"/>
    <w:rsid w:val="00312256"/>
    <w:rsid w:val="00313331"/>
    <w:rsid w:val="003346D1"/>
    <w:rsid w:val="003357CF"/>
    <w:rsid w:val="0033656B"/>
    <w:rsid w:val="00363E05"/>
    <w:rsid w:val="0037065E"/>
    <w:rsid w:val="003727A0"/>
    <w:rsid w:val="00377E69"/>
    <w:rsid w:val="00387083"/>
    <w:rsid w:val="00387488"/>
    <w:rsid w:val="003923DB"/>
    <w:rsid w:val="00393DEE"/>
    <w:rsid w:val="00397335"/>
    <w:rsid w:val="003B326B"/>
    <w:rsid w:val="003B528E"/>
    <w:rsid w:val="003E1570"/>
    <w:rsid w:val="003E5257"/>
    <w:rsid w:val="003E7062"/>
    <w:rsid w:val="0040248C"/>
    <w:rsid w:val="0040706B"/>
    <w:rsid w:val="004076C9"/>
    <w:rsid w:val="004305DF"/>
    <w:rsid w:val="00435E47"/>
    <w:rsid w:val="00437ABA"/>
    <w:rsid w:val="00442EF5"/>
    <w:rsid w:val="00470B65"/>
    <w:rsid w:val="004723DE"/>
    <w:rsid w:val="0047592F"/>
    <w:rsid w:val="004822BA"/>
    <w:rsid w:val="00482F58"/>
    <w:rsid w:val="00487FD3"/>
    <w:rsid w:val="0049324F"/>
    <w:rsid w:val="004A0725"/>
    <w:rsid w:val="004A4A72"/>
    <w:rsid w:val="004B3BAE"/>
    <w:rsid w:val="004C6E74"/>
    <w:rsid w:val="004D7B13"/>
    <w:rsid w:val="004E132B"/>
    <w:rsid w:val="004E1B0D"/>
    <w:rsid w:val="004F5C2E"/>
    <w:rsid w:val="004F7A7B"/>
    <w:rsid w:val="005118B3"/>
    <w:rsid w:val="005216E3"/>
    <w:rsid w:val="00521933"/>
    <w:rsid w:val="0053240E"/>
    <w:rsid w:val="00534963"/>
    <w:rsid w:val="0054756A"/>
    <w:rsid w:val="00557E17"/>
    <w:rsid w:val="005633CD"/>
    <w:rsid w:val="00564EFD"/>
    <w:rsid w:val="00571423"/>
    <w:rsid w:val="00575B92"/>
    <w:rsid w:val="0059275F"/>
    <w:rsid w:val="00592FBB"/>
    <w:rsid w:val="005B1548"/>
    <w:rsid w:val="005B6834"/>
    <w:rsid w:val="005B7C6F"/>
    <w:rsid w:val="005C15CE"/>
    <w:rsid w:val="005C3CA1"/>
    <w:rsid w:val="005D2C59"/>
    <w:rsid w:val="005E6609"/>
    <w:rsid w:val="005F75B5"/>
    <w:rsid w:val="00610C37"/>
    <w:rsid w:val="006215E6"/>
    <w:rsid w:val="00621F7D"/>
    <w:rsid w:val="00624483"/>
    <w:rsid w:val="00631578"/>
    <w:rsid w:val="00631B59"/>
    <w:rsid w:val="00640C52"/>
    <w:rsid w:val="00644175"/>
    <w:rsid w:val="00646E61"/>
    <w:rsid w:val="00651E4A"/>
    <w:rsid w:val="006861F8"/>
    <w:rsid w:val="006871FC"/>
    <w:rsid w:val="006951F5"/>
    <w:rsid w:val="006B13BD"/>
    <w:rsid w:val="006B540B"/>
    <w:rsid w:val="006C0834"/>
    <w:rsid w:val="006C19AE"/>
    <w:rsid w:val="006C4213"/>
    <w:rsid w:val="006D07EC"/>
    <w:rsid w:val="006D4746"/>
    <w:rsid w:val="006E231A"/>
    <w:rsid w:val="006F5401"/>
    <w:rsid w:val="0070272B"/>
    <w:rsid w:val="007111E7"/>
    <w:rsid w:val="00711B04"/>
    <w:rsid w:val="00712B0D"/>
    <w:rsid w:val="00714F9E"/>
    <w:rsid w:val="00715A69"/>
    <w:rsid w:val="0072232B"/>
    <w:rsid w:val="007260F6"/>
    <w:rsid w:val="007352FF"/>
    <w:rsid w:val="00735B86"/>
    <w:rsid w:val="007373B2"/>
    <w:rsid w:val="00752B40"/>
    <w:rsid w:val="00755804"/>
    <w:rsid w:val="00760CDF"/>
    <w:rsid w:val="00771BE3"/>
    <w:rsid w:val="007764D2"/>
    <w:rsid w:val="00792E42"/>
    <w:rsid w:val="00793127"/>
    <w:rsid w:val="007A5361"/>
    <w:rsid w:val="007C019F"/>
    <w:rsid w:val="007C15F9"/>
    <w:rsid w:val="007C3292"/>
    <w:rsid w:val="007C75A6"/>
    <w:rsid w:val="007D09E6"/>
    <w:rsid w:val="007D2588"/>
    <w:rsid w:val="007F630C"/>
    <w:rsid w:val="00804724"/>
    <w:rsid w:val="00811CEF"/>
    <w:rsid w:val="00815DDB"/>
    <w:rsid w:val="00824827"/>
    <w:rsid w:val="008326D9"/>
    <w:rsid w:val="00844584"/>
    <w:rsid w:val="008466B1"/>
    <w:rsid w:val="00855EEB"/>
    <w:rsid w:val="008564D0"/>
    <w:rsid w:val="008669C6"/>
    <w:rsid w:val="0087110A"/>
    <w:rsid w:val="0088205D"/>
    <w:rsid w:val="00884BAA"/>
    <w:rsid w:val="00885B8C"/>
    <w:rsid w:val="0089120A"/>
    <w:rsid w:val="008926BA"/>
    <w:rsid w:val="008B6FA2"/>
    <w:rsid w:val="008D42B1"/>
    <w:rsid w:val="00906789"/>
    <w:rsid w:val="00912B13"/>
    <w:rsid w:val="009138C4"/>
    <w:rsid w:val="00915A13"/>
    <w:rsid w:val="0091765E"/>
    <w:rsid w:val="009344CE"/>
    <w:rsid w:val="0094492D"/>
    <w:rsid w:val="00946076"/>
    <w:rsid w:val="009520A6"/>
    <w:rsid w:val="00971051"/>
    <w:rsid w:val="00971D22"/>
    <w:rsid w:val="00982781"/>
    <w:rsid w:val="00986102"/>
    <w:rsid w:val="009871AE"/>
    <w:rsid w:val="009A2E0C"/>
    <w:rsid w:val="009A432C"/>
    <w:rsid w:val="009A5B09"/>
    <w:rsid w:val="009A79B5"/>
    <w:rsid w:val="009B07FB"/>
    <w:rsid w:val="009B317B"/>
    <w:rsid w:val="009B426A"/>
    <w:rsid w:val="009B4C50"/>
    <w:rsid w:val="009B6DDB"/>
    <w:rsid w:val="009C2074"/>
    <w:rsid w:val="009D3583"/>
    <w:rsid w:val="009E3A66"/>
    <w:rsid w:val="009E4325"/>
    <w:rsid w:val="009E4DB3"/>
    <w:rsid w:val="009F4B86"/>
    <w:rsid w:val="00A0140A"/>
    <w:rsid w:val="00A04B7A"/>
    <w:rsid w:val="00A24B0C"/>
    <w:rsid w:val="00A3706A"/>
    <w:rsid w:val="00A37743"/>
    <w:rsid w:val="00A449D2"/>
    <w:rsid w:val="00A50512"/>
    <w:rsid w:val="00A5500A"/>
    <w:rsid w:val="00A56ED6"/>
    <w:rsid w:val="00A60613"/>
    <w:rsid w:val="00A61BF4"/>
    <w:rsid w:val="00A64FA5"/>
    <w:rsid w:val="00A665EB"/>
    <w:rsid w:val="00A85D07"/>
    <w:rsid w:val="00A951B0"/>
    <w:rsid w:val="00AA21A3"/>
    <w:rsid w:val="00AA33A1"/>
    <w:rsid w:val="00AC1628"/>
    <w:rsid w:val="00AC4C5B"/>
    <w:rsid w:val="00AC5552"/>
    <w:rsid w:val="00AD3A69"/>
    <w:rsid w:val="00AE4076"/>
    <w:rsid w:val="00AF207A"/>
    <w:rsid w:val="00B079F8"/>
    <w:rsid w:val="00B12509"/>
    <w:rsid w:val="00B136F2"/>
    <w:rsid w:val="00B2472B"/>
    <w:rsid w:val="00B3171A"/>
    <w:rsid w:val="00B3316E"/>
    <w:rsid w:val="00B3384A"/>
    <w:rsid w:val="00B66512"/>
    <w:rsid w:val="00B75F6A"/>
    <w:rsid w:val="00B77969"/>
    <w:rsid w:val="00B82826"/>
    <w:rsid w:val="00B90910"/>
    <w:rsid w:val="00B95BD1"/>
    <w:rsid w:val="00B96ED2"/>
    <w:rsid w:val="00BA6AB2"/>
    <w:rsid w:val="00BB6DCA"/>
    <w:rsid w:val="00BD0025"/>
    <w:rsid w:val="00BE0D84"/>
    <w:rsid w:val="00BE6315"/>
    <w:rsid w:val="00C056E1"/>
    <w:rsid w:val="00C20102"/>
    <w:rsid w:val="00C219E0"/>
    <w:rsid w:val="00C2601D"/>
    <w:rsid w:val="00C41B4E"/>
    <w:rsid w:val="00C420AB"/>
    <w:rsid w:val="00C47AAB"/>
    <w:rsid w:val="00C602F2"/>
    <w:rsid w:val="00C76662"/>
    <w:rsid w:val="00C96469"/>
    <w:rsid w:val="00CA5385"/>
    <w:rsid w:val="00CB370B"/>
    <w:rsid w:val="00CB774C"/>
    <w:rsid w:val="00CC1380"/>
    <w:rsid w:val="00CD0B3E"/>
    <w:rsid w:val="00CD1B84"/>
    <w:rsid w:val="00CD3E0A"/>
    <w:rsid w:val="00CD7E05"/>
    <w:rsid w:val="00CE3504"/>
    <w:rsid w:val="00CF4AEE"/>
    <w:rsid w:val="00D0186E"/>
    <w:rsid w:val="00D032CA"/>
    <w:rsid w:val="00D1274F"/>
    <w:rsid w:val="00D15189"/>
    <w:rsid w:val="00D326E8"/>
    <w:rsid w:val="00D37061"/>
    <w:rsid w:val="00D37223"/>
    <w:rsid w:val="00D46E7A"/>
    <w:rsid w:val="00D5254F"/>
    <w:rsid w:val="00D5759B"/>
    <w:rsid w:val="00D577C3"/>
    <w:rsid w:val="00D751A0"/>
    <w:rsid w:val="00D8290C"/>
    <w:rsid w:val="00D82B27"/>
    <w:rsid w:val="00DB6883"/>
    <w:rsid w:val="00DC4F0E"/>
    <w:rsid w:val="00DE2B17"/>
    <w:rsid w:val="00DF0285"/>
    <w:rsid w:val="00DF0D60"/>
    <w:rsid w:val="00DF18F1"/>
    <w:rsid w:val="00E238F5"/>
    <w:rsid w:val="00E30396"/>
    <w:rsid w:val="00E35D94"/>
    <w:rsid w:val="00E421A0"/>
    <w:rsid w:val="00E7266B"/>
    <w:rsid w:val="00E73457"/>
    <w:rsid w:val="00EA700C"/>
    <w:rsid w:val="00EB01BE"/>
    <w:rsid w:val="00EB0D17"/>
    <w:rsid w:val="00EC28CD"/>
    <w:rsid w:val="00ED48DF"/>
    <w:rsid w:val="00EE1509"/>
    <w:rsid w:val="00EF1353"/>
    <w:rsid w:val="00EF269E"/>
    <w:rsid w:val="00EF424C"/>
    <w:rsid w:val="00F02A6C"/>
    <w:rsid w:val="00F1179E"/>
    <w:rsid w:val="00F11A8B"/>
    <w:rsid w:val="00F1259C"/>
    <w:rsid w:val="00F154E0"/>
    <w:rsid w:val="00F24BE8"/>
    <w:rsid w:val="00F46921"/>
    <w:rsid w:val="00F56473"/>
    <w:rsid w:val="00F56B28"/>
    <w:rsid w:val="00F61B45"/>
    <w:rsid w:val="00F64D45"/>
    <w:rsid w:val="00F777DF"/>
    <w:rsid w:val="00F92BEE"/>
    <w:rsid w:val="00F9596E"/>
    <w:rsid w:val="00FA2E62"/>
    <w:rsid w:val="00FA3C00"/>
    <w:rsid w:val="00FC145A"/>
    <w:rsid w:val="00FC6684"/>
    <w:rsid w:val="00FD19FB"/>
    <w:rsid w:val="00FE52FE"/>
    <w:rsid w:val="00FF3FD0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528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B528E"/>
  </w:style>
  <w:style w:type="paragraph" w:customStyle="1" w:styleId="StylCalibriWyjustowany">
    <w:name w:val="Styl Calibri Wyjustowany"/>
    <w:basedOn w:val="Normalny"/>
    <w:rsid w:val="003B528E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B528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35B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urgiel@ib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3899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</dc:creator>
  <cp:lastModifiedBy>Jolanta Rzęsista </cp:lastModifiedBy>
  <cp:revision>2</cp:revision>
  <dcterms:created xsi:type="dcterms:W3CDTF">2015-05-14T13:42:00Z</dcterms:created>
  <dcterms:modified xsi:type="dcterms:W3CDTF">2015-05-14T13:42:00Z</dcterms:modified>
</cp:coreProperties>
</file>